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5EA" w:rsidRPr="00D725EA" w:rsidRDefault="00D725EA" w:rsidP="00D725EA">
      <w:pPr>
        <w:pStyle w:val="Heading1"/>
      </w:pPr>
      <w:r w:rsidRPr="00D725EA">
        <w:t>Is Builders FirstSource (BLDR) Looking For Next Multi Year Rally?</w:t>
      </w:r>
    </w:p>
    <w:p w:rsidR="00D725EA" w:rsidRPr="00D725EA" w:rsidRDefault="00D725EA" w:rsidP="00D725EA">
      <w:pPr>
        <w:spacing w:after="150" w:line="240" w:lineRule="auto"/>
        <w:jc w:val="both"/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</w:pPr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Builders FirstSource, Inc., (BLDR) manufactures &amp; supplies building materials, components &amp; construction services to professional homebuilders, sub-contractors, remodelers &amp; consumers in the United States. It comes under Industrials sector &amp; trades as “BLDR” ticker at NYSE.</w:t>
      </w:r>
    </w:p>
    <w:p w:rsidR="00D725EA" w:rsidRPr="00D725EA" w:rsidRDefault="00D725EA" w:rsidP="00D725EA">
      <w:pPr>
        <w:spacing w:after="150" w:line="240" w:lineRule="auto"/>
        <w:jc w:val="both"/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</w:pPr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BLDR was corrected more than 50 % since all time high of $214.70 in June-2025 low. It ended correction of ((II)) at $102.60 in 6.02.2025 low in daily extreme area. Above there, it favors upside in next cycle or at least larger 3 swings bounce. We like to remain long from the daily extreme area against 6.02.2025 low.</w:t>
      </w:r>
    </w:p>
    <w:p w:rsidR="00D725EA" w:rsidRPr="00D725EA" w:rsidRDefault="00D725EA" w:rsidP="00D725EA">
      <w:pPr>
        <w:spacing w:after="0" w:line="240" w:lineRule="auto"/>
        <w:outlineLvl w:val="3"/>
        <w:rPr>
          <w:rFonts w:ascii="Helvetica Neue Lt Std MdCn" w:eastAsia="Times New Roman" w:hAnsi="Helvetica Neue Lt Std MdCn" w:cs="Times New Roman"/>
          <w:color w:val="333333"/>
          <w:sz w:val="24"/>
          <w:szCs w:val="24"/>
        </w:rPr>
      </w:pPr>
      <w:r w:rsidRPr="00D725EA">
        <w:rPr>
          <w:rFonts w:ascii="Helvetica Neue Lt Std MdCn" w:eastAsia="Times New Roman" w:hAnsi="Helvetica Neue Lt Std MdCn" w:cs="Times New Roman"/>
          <w:color w:val="333333"/>
          <w:sz w:val="24"/>
          <w:szCs w:val="24"/>
        </w:rPr>
        <w:t>BLDR – Elliott Wave Latest Daily View: </w:t>
      </w:r>
      <w:r>
        <w:rPr>
          <w:rFonts w:ascii="Helvetica Neue Lt Std MdCn" w:eastAsia="Times New Roman" w:hAnsi="Helvetica Neue Lt Std MdCn" w:cs="Times New Roman"/>
          <w:noProof/>
          <w:color w:val="0D72C7"/>
          <w:sz w:val="24"/>
          <w:szCs w:val="24"/>
        </w:rPr>
        <w:drawing>
          <wp:inline distT="0" distB="0" distL="0" distR="0">
            <wp:extent cx="6298039" cy="3228975"/>
            <wp:effectExtent l="19050" t="0" r="7511" b="0"/>
            <wp:docPr id="1" name="Picture 1" descr="https://elliottwave-forecast.com/wp-content/uploads/2025/08/BLDR-W-1024x525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lliottwave-forecast.com/wp-content/uploads/2025/08/BLDR-W-1024x525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039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5EA" w:rsidRPr="00D725EA" w:rsidRDefault="00D725EA" w:rsidP="00D725EA">
      <w:pPr>
        <w:spacing w:after="0" w:line="240" w:lineRule="auto"/>
        <w:jc w:val="both"/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</w:pPr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It ended multi year </w:t>
      </w:r>
      <w:hyperlink r:id="rId6" w:anchor="impulse" w:history="1">
        <w:r w:rsidRPr="00D725EA">
          <w:rPr>
            <w:rFonts w:ascii="Helvetica Neue Lt Std Roman" w:eastAsia="Times New Roman" w:hAnsi="Helvetica Neue Lt Std Roman" w:cs="Times New Roman"/>
            <w:color w:val="0D72C7"/>
            <w:sz w:val="21"/>
            <w:u w:val="single"/>
          </w:rPr>
          <w:t>impulse</w:t>
        </w:r>
      </w:hyperlink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 sequence at $214.70 high in March-2024 from inception. It ended (I) of ((I)) at $28.43 high in February-2020, (II) at $9.00 low in March-2020, (III) at $86.48 high in January-2022, (IV) at $48.91 low in June-2022 &amp; (V) at $214.70 high. Within (V), it ended I at $74.48 high, II at $52.70 low, III at $156.85 high, IV at $105.24 low &amp; V at $214.70 high. It ended ((II)) in flat correction. Within ((II)), it ended (a) at $130.75 low, (b) at $203.14 high &amp; (c) at $102.60 low. The (a) unfold in </w:t>
      </w:r>
      <w:hyperlink r:id="rId7" w:anchor="zigzag" w:history="1">
        <w:r w:rsidRPr="00D725EA">
          <w:rPr>
            <w:rFonts w:ascii="Helvetica Neue Lt Std Roman" w:eastAsia="Times New Roman" w:hAnsi="Helvetica Neue Lt Std Roman" w:cs="Times New Roman"/>
            <w:color w:val="0D72C7"/>
            <w:sz w:val="21"/>
            <w:u w:val="single"/>
          </w:rPr>
          <w:t>zigzag</w:t>
        </w:r>
      </w:hyperlink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, (b) in </w:t>
      </w:r>
      <w:hyperlink r:id="rId8" w:anchor="double-three" w:history="1">
        <w:r w:rsidRPr="00D725EA">
          <w:rPr>
            <w:rFonts w:ascii="Helvetica Neue Lt Std Roman" w:eastAsia="Times New Roman" w:hAnsi="Helvetica Neue Lt Std Roman" w:cs="Times New Roman"/>
            <w:color w:val="0D72C7"/>
            <w:sz w:val="21"/>
            <w:u w:val="single"/>
          </w:rPr>
          <w:t>double three</w:t>
        </w:r>
      </w:hyperlink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 &amp; (c) in impulse sequence in ((II)) pullback. It ended ((II)) </w:t>
      </w:r>
      <w:hyperlink r:id="rId9" w:anchor="corrective-waves" w:history="1">
        <w:r w:rsidRPr="00D725EA">
          <w:rPr>
            <w:rFonts w:ascii="Helvetica Neue Lt Std Roman" w:eastAsia="Times New Roman" w:hAnsi="Helvetica Neue Lt Std Roman" w:cs="Times New Roman"/>
            <w:color w:val="0D72C7"/>
            <w:sz w:val="21"/>
            <w:u w:val="single"/>
          </w:rPr>
          <w:t>correction</w:t>
        </w:r>
      </w:hyperlink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 in daily extreme area between $118.90 – $66.81 &amp; now turned higher.</w:t>
      </w:r>
    </w:p>
    <w:p w:rsidR="00D725EA" w:rsidRPr="00D725EA" w:rsidRDefault="00D725EA" w:rsidP="00D725EA">
      <w:pPr>
        <w:spacing w:after="150" w:line="240" w:lineRule="auto"/>
        <w:jc w:val="both"/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</w:pPr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Above ((II)) low, it proposed ended (1) at $138.44 high &amp; favors pullback in (2) against 6.02.2025 low. Within (1), it ended 1 at $119.35 high, 2 at $106.03 low, 3 at $137.21 high, 4 at $121.55 low &amp; 5 at $138.44 high. Currently, it favors bounce in B of (2), while placed A at $118.17 low. It expects B to fail below $138.44 high to extend lower in C to extreme area to finish (2). We like to buy the extreme area against 6.02.2025 low for the next leg higher. Alternatively, it can break above $138.44 high to be 3 of (1), while placed 1 at $138.44 high. In that case, it can see two more highs to finish (1) before next pullback may unfold.</w:t>
      </w:r>
    </w:p>
    <w:p w:rsidR="00D725EA" w:rsidRPr="00D725EA" w:rsidRDefault="00D725EA" w:rsidP="00D725EA">
      <w:pPr>
        <w:spacing w:after="0" w:line="240" w:lineRule="auto"/>
        <w:jc w:val="both"/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</w:pPr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 xml:space="preserve">Elliottwave Forecast updates 1-hour charts four times a day &amp; 4-hour charts once a day for all our 78 instruments. We do a daily live session, where we guide our clients on the right side of the market. In addition, we have a chat room where our moderators will help you with any questions you have about what is happening </w:t>
      </w:r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lastRenderedPageBreak/>
        <w:t>in the market at the moment. </w:t>
      </w:r>
      <w:hyperlink r:id="rId10" w:history="1">
        <w:r w:rsidRPr="00D725EA">
          <w:rPr>
            <w:rFonts w:ascii="Helvetica Neue Lt Std Roman" w:eastAsia="Times New Roman" w:hAnsi="Helvetica Neue Lt Std Roman" w:cs="Times New Roman"/>
            <w:color w:val="0D72C7"/>
            <w:sz w:val="21"/>
            <w:u w:val="single"/>
          </w:rPr>
          <w:t>You can try us for 14 days for only $9.99</w:t>
        </w:r>
      </w:hyperlink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. Also, you can check out the Educational section to learn Elliott wave theory &amp; its application through different </w:t>
      </w:r>
      <w:hyperlink r:id="rId11" w:history="1">
        <w:r w:rsidRPr="00D725EA">
          <w:rPr>
            <w:rFonts w:ascii="Helvetica Neue Lt Std Roman" w:eastAsia="Times New Roman" w:hAnsi="Helvetica Neue Lt Std Roman" w:cs="Times New Roman"/>
            <w:color w:val="0D72C7"/>
            <w:sz w:val="21"/>
            <w:u w:val="single"/>
          </w:rPr>
          <w:t>packages</w:t>
        </w:r>
      </w:hyperlink>
      <w:r w:rsidRPr="00D725EA">
        <w:rPr>
          <w:rFonts w:ascii="Helvetica Neue Lt Std Roman" w:eastAsia="Times New Roman" w:hAnsi="Helvetica Neue Lt Std Roman" w:cs="Times New Roman"/>
          <w:color w:val="333333"/>
          <w:sz w:val="21"/>
          <w:szCs w:val="21"/>
        </w:rPr>
        <w:t> available &amp; 1-1 coaching for doubts. The BLDR is not the part of our regular service.</w:t>
      </w:r>
    </w:p>
    <w:p w:rsidR="003929EF" w:rsidRDefault="003929EF"/>
    <w:sectPr w:rsidR="003929EF" w:rsidSect="003929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Neue Lt Std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 Neue Lt Std MdC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D725EA"/>
    <w:rsid w:val="003929EF"/>
    <w:rsid w:val="00D72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9EF"/>
  </w:style>
  <w:style w:type="paragraph" w:styleId="Heading1">
    <w:name w:val="heading 1"/>
    <w:basedOn w:val="Normal"/>
    <w:link w:val="Heading1Char"/>
    <w:uiPriority w:val="9"/>
    <w:qFormat/>
    <w:rsid w:val="00D725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link w:val="Heading4Char"/>
    <w:uiPriority w:val="9"/>
    <w:qFormat/>
    <w:rsid w:val="00D725E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5E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D725EA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ntry-meta">
    <w:name w:val="entry-meta"/>
    <w:basedOn w:val="Normal"/>
    <w:rsid w:val="00D72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ntry-author">
    <w:name w:val="entry-author"/>
    <w:basedOn w:val="DefaultParagraphFont"/>
    <w:rsid w:val="00D725EA"/>
  </w:style>
  <w:style w:type="character" w:styleId="Hyperlink">
    <w:name w:val="Hyperlink"/>
    <w:basedOn w:val="DefaultParagraphFont"/>
    <w:uiPriority w:val="99"/>
    <w:semiHidden/>
    <w:unhideWhenUsed/>
    <w:rsid w:val="00D725EA"/>
    <w:rPr>
      <w:color w:val="0000FF"/>
      <w:u w:val="single"/>
    </w:rPr>
  </w:style>
  <w:style w:type="character" w:customStyle="1" w:styleId="entry-author-name">
    <w:name w:val="entry-author-name"/>
    <w:basedOn w:val="DefaultParagraphFont"/>
    <w:rsid w:val="00D725EA"/>
  </w:style>
  <w:style w:type="paragraph" w:styleId="NormalWeb">
    <w:name w:val="Normal (Web)"/>
    <w:basedOn w:val="Normal"/>
    <w:uiPriority w:val="99"/>
    <w:semiHidden/>
    <w:unhideWhenUsed/>
    <w:rsid w:val="00D725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25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5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9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01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liottwave-forecast.com/elliott-wave-theory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elliottwave-forecast.com/elliott-wave-theory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lliottwave-forecast.com/elliott-wave-theory/" TargetMode="External"/><Relationship Id="rId11" Type="http://schemas.openxmlformats.org/officeDocument/2006/relationships/hyperlink" Target="https://elliottwave-forecast.com/amember/go.php?r=28619&amp;i=l29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elliottwave-forecast.com/amember/go.php?r=28619&amp;i=l3" TargetMode="External"/><Relationship Id="rId4" Type="http://schemas.openxmlformats.org/officeDocument/2006/relationships/hyperlink" Target="https://elliottwave-forecast.com/wp-content/uploads/2025/08/BLDR-W.jpg" TargetMode="External"/><Relationship Id="rId9" Type="http://schemas.openxmlformats.org/officeDocument/2006/relationships/hyperlink" Target="https://elliottwave-forecast.com/elliott-wave-theo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468</Words>
  <Characters>2670</Characters>
  <Application>Microsoft Office Word</Application>
  <DocSecurity>0</DocSecurity>
  <Lines>22</Lines>
  <Paragraphs>6</Paragraphs>
  <ScaleCrop>false</ScaleCrop>
  <Company/>
  <LinksUpToDate>false</LinksUpToDate>
  <CharactersWithSpaces>3132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Haseeb Ali</dc:creator>
  <cp:lastModifiedBy>Haseeb Ali</cp:lastModifiedBy>
  <cp:revision>1</cp:revision>
  <dcterms:created xsi:type="dcterms:W3CDTF">2025-08-05T13:35:00Z</dcterms:created>
  <dcterms:modified xsi:type="dcterms:W3CDTF">2025-08-05T13:38:00Z</dcterms:modified>
</cp:coreProperties>
</file>