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223" w:rsidRDefault="001C4127">
      <w:r>
        <w:tab/>
      </w:r>
      <w:r>
        <w:tab/>
        <w:t>CALENDAR EVENTS AND PLAN FOR THESE WEEK 7/14/2019</w:t>
      </w:r>
    </w:p>
    <w:p w:rsidR="001C4127" w:rsidRDefault="001C4127">
      <w:r>
        <w:tab/>
        <w:t xml:space="preserve">My trading week will start on Tuesday with NZD </w:t>
      </w:r>
      <w:r w:rsidR="00836A2B">
        <w:t xml:space="preserve">news </w:t>
      </w:r>
      <w:proofErr w:type="spellStart"/>
      <w:r w:rsidR="00836A2B">
        <w:t>wich</w:t>
      </w:r>
      <w:proofErr w:type="spellEnd"/>
      <w:r w:rsidR="00836A2B">
        <w:t xml:space="preserve"> expected to be dovish (in short term)</w:t>
      </w:r>
      <w:r>
        <w:t xml:space="preserve"> for NZD  </w:t>
      </w:r>
      <w:proofErr w:type="spellStart"/>
      <w:r>
        <w:t>wich</w:t>
      </w:r>
      <w:proofErr w:type="spellEnd"/>
      <w:r>
        <w:t xml:space="preserve"> will make to price reach my interesting zone S61 to S100, because there are several pairs conditions are not the same in all of them. My chosen pairs for trading during these event will be: NZD/CAD were </w:t>
      </w:r>
      <w:proofErr w:type="spellStart"/>
      <w:r>
        <w:t>realy</w:t>
      </w:r>
      <w:proofErr w:type="spellEnd"/>
      <w:r>
        <w:t xml:space="preserve"> price action shows levels of real resistance and NZD/USD </w:t>
      </w:r>
      <w:proofErr w:type="spellStart"/>
      <w:r>
        <w:t>wich</w:t>
      </w:r>
      <w:proofErr w:type="spellEnd"/>
      <w:r>
        <w:t xml:space="preserve"> also shows levels of resistance </w:t>
      </w:r>
      <w:proofErr w:type="spellStart"/>
      <w:r>
        <w:t>wich</w:t>
      </w:r>
      <w:proofErr w:type="spellEnd"/>
      <w:r>
        <w:t xml:space="preserve"> expected to be reached but overall trend in </w:t>
      </w:r>
      <w:proofErr w:type="spellStart"/>
      <w:r>
        <w:t>higer</w:t>
      </w:r>
      <w:proofErr w:type="spellEnd"/>
      <w:r>
        <w:t xml:space="preserve"> time frames remain bearish for me </w:t>
      </w:r>
      <w:r>
        <w:sym w:font="Wingdings" w:char="F04A"/>
      </w:r>
    </w:p>
    <w:tbl>
      <w:tblPr>
        <w:tblW w:w="6571" w:type="dxa"/>
        <w:tblCellSpacing w:w="15" w:type="dxa"/>
        <w:tblBorders>
          <w:top w:val="single" w:sz="4" w:space="0" w:color="BABABA"/>
          <w:left w:val="single" w:sz="4" w:space="0" w:color="BABABA"/>
          <w:bottom w:val="single" w:sz="4" w:space="0" w:color="BABABA"/>
          <w:right w:val="single" w:sz="4" w:space="0" w:color="BABABA"/>
        </w:tblBorders>
        <w:shd w:val="clear" w:color="auto" w:fill="FFFFFF"/>
        <w:tblCellMar>
          <w:left w:w="0" w:type="dxa"/>
          <w:right w:w="0" w:type="dxa"/>
        </w:tblCellMar>
        <w:tblLook w:val="04A0"/>
      </w:tblPr>
      <w:tblGrid>
        <w:gridCol w:w="731"/>
        <w:gridCol w:w="584"/>
        <w:gridCol w:w="965"/>
        <w:gridCol w:w="2020"/>
        <w:gridCol w:w="628"/>
        <w:gridCol w:w="704"/>
        <w:gridCol w:w="671"/>
        <w:gridCol w:w="268"/>
      </w:tblGrid>
      <w:tr w:rsidR="00836A2B" w:rsidRPr="00836A2B" w:rsidTr="00836A2B">
        <w:trPr>
          <w:trHeight w:val="254"/>
          <w:tblCellSpacing w:w="15" w:type="dxa"/>
        </w:trPr>
        <w:tc>
          <w:tcPr>
            <w:tcW w:w="639" w:type="dxa"/>
            <w:tcBorders>
              <w:top w:val="single" w:sz="4" w:space="0" w:color="DADADA"/>
              <w:left w:val="nil"/>
              <w:bottom w:val="nil"/>
              <w:right w:val="nil"/>
            </w:tcBorders>
            <w:shd w:val="clear" w:color="auto" w:fill="EDF4FA"/>
            <w:tcMar>
              <w:top w:w="0" w:type="dxa"/>
              <w:left w:w="101" w:type="dxa"/>
              <w:bottom w:w="0" w:type="dxa"/>
              <w:right w:w="51" w:type="dxa"/>
            </w:tcMar>
            <w:vAlign w:val="center"/>
            <w:hideMark/>
          </w:tcPr>
          <w:p w:rsidR="00836A2B" w:rsidRPr="00836A2B" w:rsidRDefault="00836A2B" w:rsidP="00836A2B">
            <w:pPr>
              <w:spacing w:after="0" w:line="240" w:lineRule="auto"/>
              <w:rPr>
                <w:rFonts w:ascii="inherit" w:eastAsia="Times New Roman" w:hAnsi="inherit" w:cs="Arial"/>
                <w:color w:val="333333"/>
                <w:sz w:val="12"/>
                <w:szCs w:val="12"/>
              </w:rPr>
            </w:pPr>
            <w:r w:rsidRPr="00836A2B">
              <w:rPr>
                <w:rFonts w:ascii="inherit" w:eastAsia="Times New Roman" w:hAnsi="inherit" w:cs="Arial"/>
                <w:color w:val="333333"/>
                <w:sz w:val="12"/>
                <w:szCs w:val="12"/>
              </w:rPr>
              <w:t>00:45</w:t>
            </w:r>
          </w:p>
        </w:tc>
        <w:tc>
          <w:tcPr>
            <w:tcW w:w="517" w:type="dxa"/>
            <w:tcBorders>
              <w:top w:val="single" w:sz="4" w:space="0" w:color="DADADA"/>
              <w:left w:val="nil"/>
              <w:bottom w:val="nil"/>
              <w:right w:val="nil"/>
            </w:tcBorders>
            <w:shd w:val="clear" w:color="auto" w:fill="EDF4FA"/>
            <w:noWrap/>
            <w:tcMar>
              <w:top w:w="0" w:type="dxa"/>
              <w:left w:w="0" w:type="dxa"/>
              <w:bottom w:w="0" w:type="dxa"/>
              <w:right w:w="51" w:type="dxa"/>
            </w:tcMar>
            <w:vAlign w:val="center"/>
            <w:hideMark/>
          </w:tcPr>
          <w:p w:rsidR="00836A2B" w:rsidRPr="00836A2B" w:rsidRDefault="00836A2B" w:rsidP="00836A2B">
            <w:pPr>
              <w:spacing w:after="0" w:line="240" w:lineRule="auto"/>
              <w:rPr>
                <w:rFonts w:ascii="Arial" w:eastAsia="Times New Roman" w:hAnsi="Arial" w:cs="Arial"/>
                <w:color w:val="333333"/>
                <w:sz w:val="12"/>
                <w:szCs w:val="12"/>
              </w:rPr>
            </w:pPr>
            <w:r w:rsidRPr="00836A2B">
              <w:rPr>
                <w:rFonts w:ascii="Arial" w:eastAsia="Times New Roman" w:hAnsi="Arial" w:cs="Arial"/>
                <w:color w:val="333333"/>
                <w:sz w:val="12"/>
              </w:rPr>
              <w:t> </w:t>
            </w:r>
            <w:r w:rsidRPr="00836A2B">
              <w:rPr>
                <w:rFonts w:ascii="Arial" w:eastAsia="Times New Roman" w:hAnsi="Arial" w:cs="Arial"/>
                <w:color w:val="333333"/>
                <w:sz w:val="12"/>
                <w:szCs w:val="12"/>
              </w:rPr>
              <w:t> NZD</w:t>
            </w:r>
          </w:p>
        </w:tc>
        <w:tc>
          <w:tcPr>
            <w:tcW w:w="872" w:type="dxa"/>
            <w:tcBorders>
              <w:top w:val="single" w:sz="4" w:space="0" w:color="DADADA"/>
              <w:left w:val="nil"/>
              <w:bottom w:val="nil"/>
              <w:right w:val="nil"/>
            </w:tcBorders>
            <w:shd w:val="clear" w:color="auto" w:fill="EDF4FA"/>
            <w:noWrap/>
            <w:tcMar>
              <w:top w:w="0" w:type="dxa"/>
              <w:left w:w="101" w:type="dxa"/>
              <w:bottom w:w="0" w:type="dxa"/>
              <w:right w:w="51" w:type="dxa"/>
            </w:tcMar>
            <w:vAlign w:val="center"/>
            <w:hideMark/>
          </w:tcPr>
          <w:p w:rsidR="00836A2B" w:rsidRPr="00836A2B" w:rsidRDefault="00836A2B" w:rsidP="00836A2B">
            <w:pPr>
              <w:spacing w:after="0" w:line="240" w:lineRule="auto"/>
              <w:rPr>
                <w:rFonts w:ascii="Arial" w:eastAsia="Times New Roman" w:hAnsi="Arial" w:cs="Arial"/>
                <w:color w:val="333333"/>
                <w:sz w:val="12"/>
                <w:szCs w:val="12"/>
              </w:rPr>
            </w:pPr>
          </w:p>
        </w:tc>
        <w:tc>
          <w:tcPr>
            <w:tcW w:w="1856" w:type="dxa"/>
            <w:tcBorders>
              <w:top w:val="single" w:sz="4" w:space="0" w:color="DADADA"/>
              <w:left w:val="nil"/>
              <w:bottom w:val="nil"/>
              <w:right w:val="nil"/>
            </w:tcBorders>
            <w:shd w:val="clear" w:color="auto" w:fill="EDF4FA"/>
            <w:tcMar>
              <w:top w:w="20" w:type="dxa"/>
              <w:left w:w="0" w:type="dxa"/>
              <w:bottom w:w="20" w:type="dxa"/>
              <w:right w:w="0" w:type="dxa"/>
            </w:tcMar>
            <w:vAlign w:val="center"/>
            <w:hideMark/>
          </w:tcPr>
          <w:p w:rsidR="00836A2B" w:rsidRPr="00836A2B" w:rsidRDefault="00836A2B" w:rsidP="00836A2B">
            <w:pPr>
              <w:spacing w:after="0" w:line="193" w:lineRule="atLeast"/>
              <w:rPr>
                <w:rFonts w:ascii="inherit" w:eastAsia="Times New Roman" w:hAnsi="inherit" w:cs="Arial"/>
                <w:color w:val="333333"/>
                <w:sz w:val="12"/>
                <w:szCs w:val="12"/>
              </w:rPr>
            </w:pPr>
            <w:hyperlink r:id="rId4" w:tgtFrame="_blank" w:history="1">
              <w:r w:rsidRPr="00836A2B">
                <w:rPr>
                  <w:rFonts w:ascii="inherit" w:eastAsia="Times New Roman" w:hAnsi="inherit" w:cs="Arial"/>
                  <w:color w:val="333333"/>
                  <w:sz w:val="12"/>
                  <w:u w:val="single"/>
                </w:rPr>
                <w:t>CPI (</w:t>
              </w:r>
              <w:proofErr w:type="spellStart"/>
              <w:r w:rsidRPr="00836A2B">
                <w:rPr>
                  <w:rFonts w:ascii="inherit" w:eastAsia="Times New Roman" w:hAnsi="inherit" w:cs="Arial"/>
                  <w:color w:val="333333"/>
                  <w:sz w:val="12"/>
                  <w:u w:val="single"/>
                </w:rPr>
                <w:t>QoQ</w:t>
              </w:r>
              <w:proofErr w:type="spellEnd"/>
              <w:r w:rsidRPr="00836A2B">
                <w:rPr>
                  <w:rFonts w:ascii="inherit" w:eastAsia="Times New Roman" w:hAnsi="inherit" w:cs="Arial"/>
                  <w:color w:val="333333"/>
                  <w:sz w:val="12"/>
                  <w:u w:val="single"/>
                </w:rPr>
                <w:t>) (Q2)</w:t>
              </w:r>
            </w:hyperlink>
          </w:p>
        </w:tc>
        <w:tc>
          <w:tcPr>
            <w:tcW w:w="558"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inherit" w:eastAsia="Times New Roman" w:hAnsi="inherit" w:cs="Arial"/>
                <w:b/>
                <w:bCs/>
                <w:color w:val="000000"/>
                <w:sz w:val="12"/>
                <w:szCs w:val="12"/>
              </w:rPr>
            </w:pPr>
            <w:r w:rsidRPr="00836A2B">
              <w:rPr>
                <w:rFonts w:ascii="inherit" w:eastAsia="Times New Roman" w:hAnsi="inherit" w:cs="Arial"/>
                <w:b/>
                <w:bCs/>
                <w:color w:val="000000"/>
                <w:sz w:val="12"/>
                <w:szCs w:val="12"/>
              </w:rPr>
              <w:t> </w:t>
            </w:r>
          </w:p>
        </w:tc>
        <w:tc>
          <w:tcPr>
            <w:tcW w:w="629"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Arial" w:eastAsia="Times New Roman" w:hAnsi="Arial" w:cs="Arial"/>
                <w:color w:val="00B050"/>
                <w:sz w:val="12"/>
                <w:szCs w:val="12"/>
              </w:rPr>
            </w:pPr>
            <w:r w:rsidRPr="00836A2B">
              <w:rPr>
                <w:rFonts w:ascii="Arial" w:eastAsia="Times New Roman" w:hAnsi="Arial" w:cs="Arial"/>
                <w:color w:val="00B050"/>
                <w:sz w:val="12"/>
                <w:szCs w:val="12"/>
              </w:rPr>
              <w:t>0.6%</w:t>
            </w:r>
          </w:p>
        </w:tc>
        <w:tc>
          <w:tcPr>
            <w:tcW w:w="598"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Arial" w:eastAsia="Times New Roman" w:hAnsi="Arial" w:cs="Arial"/>
                <w:color w:val="000000"/>
                <w:sz w:val="12"/>
                <w:szCs w:val="12"/>
              </w:rPr>
            </w:pPr>
            <w:r w:rsidRPr="00836A2B">
              <w:rPr>
                <w:rFonts w:ascii="Arial" w:eastAsia="Times New Roman" w:hAnsi="Arial" w:cs="Arial"/>
                <w:color w:val="000000"/>
                <w:sz w:val="12"/>
                <w:szCs w:val="12"/>
                <w:bdr w:val="none" w:sz="0" w:space="0" w:color="auto" w:frame="1"/>
              </w:rPr>
              <w:t>0.1%</w:t>
            </w:r>
          </w:p>
        </w:tc>
        <w:tc>
          <w:tcPr>
            <w:tcW w:w="142" w:type="dxa"/>
            <w:tcBorders>
              <w:top w:val="single" w:sz="4" w:space="0" w:color="DADADA"/>
              <w:left w:val="nil"/>
              <w:bottom w:val="nil"/>
              <w:right w:val="nil"/>
            </w:tcBorders>
            <w:shd w:val="clear" w:color="auto" w:fill="EDF4FA"/>
            <w:tcMar>
              <w:top w:w="0" w:type="dxa"/>
              <w:left w:w="101" w:type="dxa"/>
              <w:bottom w:w="0" w:type="dxa"/>
              <w:right w:w="101" w:type="dxa"/>
            </w:tcMar>
            <w:vAlign w:val="center"/>
            <w:hideMark/>
          </w:tcPr>
          <w:p w:rsidR="00836A2B" w:rsidRPr="00836A2B" w:rsidRDefault="00836A2B" w:rsidP="00836A2B">
            <w:pPr>
              <w:spacing w:after="0" w:line="240" w:lineRule="auto"/>
              <w:jc w:val="right"/>
              <w:rPr>
                <w:rFonts w:ascii="Arial" w:eastAsia="Times New Roman" w:hAnsi="Arial" w:cs="Arial"/>
                <w:color w:val="333333"/>
                <w:sz w:val="12"/>
                <w:szCs w:val="12"/>
              </w:rPr>
            </w:pPr>
          </w:p>
        </w:tc>
      </w:tr>
    </w:tbl>
    <w:p w:rsidR="00836A2B" w:rsidRDefault="00836A2B"/>
    <w:p w:rsidR="001C4127" w:rsidRDefault="001C4127">
      <w:r>
        <w:rPr>
          <w:noProof/>
        </w:rPr>
        <w:drawing>
          <wp:inline distT="0" distB="0" distL="0" distR="0">
            <wp:extent cx="5943600" cy="2978150"/>
            <wp:effectExtent l="19050" t="0" r="0" b="0"/>
            <wp:docPr id="1" name="Picture 0" descr="n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z1.png"/>
                    <pic:cNvPicPr/>
                  </pic:nvPicPr>
                  <pic:blipFill>
                    <a:blip r:embed="rId5" cstate="print"/>
                    <a:stretch>
                      <a:fillRect/>
                    </a:stretch>
                  </pic:blipFill>
                  <pic:spPr>
                    <a:xfrm>
                      <a:off x="0" y="0"/>
                      <a:ext cx="5943600" cy="2978150"/>
                    </a:xfrm>
                    <a:prstGeom prst="rect">
                      <a:avLst/>
                    </a:prstGeom>
                  </pic:spPr>
                </pic:pic>
              </a:graphicData>
            </a:graphic>
          </wp:inline>
        </w:drawing>
      </w:r>
    </w:p>
    <w:p w:rsidR="00836A2B" w:rsidRDefault="00836A2B">
      <w:r>
        <w:rPr>
          <w:noProof/>
        </w:rPr>
        <w:drawing>
          <wp:inline distT="0" distB="0" distL="0" distR="0">
            <wp:extent cx="5943600" cy="1995805"/>
            <wp:effectExtent l="19050" t="0" r="0" b="0"/>
            <wp:docPr id="2" name="Picture 1" descr="nz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z2.png"/>
                    <pic:cNvPicPr/>
                  </pic:nvPicPr>
                  <pic:blipFill>
                    <a:blip r:embed="rId6" cstate="print"/>
                    <a:stretch>
                      <a:fillRect/>
                    </a:stretch>
                  </pic:blipFill>
                  <pic:spPr>
                    <a:xfrm>
                      <a:off x="0" y="0"/>
                      <a:ext cx="5943600" cy="1995805"/>
                    </a:xfrm>
                    <a:prstGeom prst="rect">
                      <a:avLst/>
                    </a:prstGeom>
                  </pic:spPr>
                </pic:pic>
              </a:graphicData>
            </a:graphic>
          </wp:inline>
        </w:drawing>
      </w:r>
    </w:p>
    <w:tbl>
      <w:tblPr>
        <w:tblW w:w="6571" w:type="dxa"/>
        <w:tblCellSpacing w:w="15" w:type="dxa"/>
        <w:tblBorders>
          <w:top w:val="single" w:sz="4" w:space="0" w:color="BABABA"/>
          <w:left w:val="single" w:sz="4" w:space="0" w:color="BABABA"/>
          <w:bottom w:val="single" w:sz="4" w:space="0" w:color="BABABA"/>
          <w:right w:val="single" w:sz="4" w:space="0" w:color="BABABA"/>
        </w:tblBorders>
        <w:shd w:val="clear" w:color="auto" w:fill="FFFFFF"/>
        <w:tblCellMar>
          <w:left w:w="0" w:type="dxa"/>
          <w:right w:w="0" w:type="dxa"/>
        </w:tblCellMar>
        <w:tblLook w:val="04A0"/>
      </w:tblPr>
      <w:tblGrid>
        <w:gridCol w:w="731"/>
        <w:gridCol w:w="584"/>
        <w:gridCol w:w="965"/>
        <w:gridCol w:w="2020"/>
        <w:gridCol w:w="628"/>
        <w:gridCol w:w="704"/>
        <w:gridCol w:w="671"/>
        <w:gridCol w:w="268"/>
      </w:tblGrid>
      <w:tr w:rsidR="00836A2B" w:rsidRPr="00836A2B" w:rsidTr="00836A2B">
        <w:trPr>
          <w:trHeight w:val="254"/>
          <w:tblCellSpacing w:w="15" w:type="dxa"/>
        </w:trPr>
        <w:tc>
          <w:tcPr>
            <w:tcW w:w="639" w:type="dxa"/>
            <w:tcBorders>
              <w:top w:val="single" w:sz="4" w:space="0" w:color="DADADA"/>
              <w:left w:val="nil"/>
              <w:bottom w:val="nil"/>
              <w:right w:val="nil"/>
            </w:tcBorders>
            <w:shd w:val="clear" w:color="auto" w:fill="EDF4FA"/>
            <w:tcMar>
              <w:top w:w="0" w:type="dxa"/>
              <w:left w:w="101" w:type="dxa"/>
              <w:bottom w:w="0" w:type="dxa"/>
              <w:right w:w="51" w:type="dxa"/>
            </w:tcMar>
            <w:vAlign w:val="center"/>
            <w:hideMark/>
          </w:tcPr>
          <w:p w:rsidR="00836A2B" w:rsidRPr="00836A2B" w:rsidRDefault="00836A2B" w:rsidP="00836A2B">
            <w:pPr>
              <w:spacing w:after="0" w:line="240" w:lineRule="auto"/>
              <w:rPr>
                <w:rFonts w:ascii="inherit" w:eastAsia="Times New Roman" w:hAnsi="inherit" w:cs="Arial"/>
                <w:color w:val="333333"/>
                <w:sz w:val="12"/>
                <w:szCs w:val="12"/>
              </w:rPr>
            </w:pPr>
            <w:r w:rsidRPr="00836A2B">
              <w:rPr>
                <w:rFonts w:ascii="inherit" w:eastAsia="Times New Roman" w:hAnsi="inherit" w:cs="Arial"/>
                <w:color w:val="333333"/>
                <w:sz w:val="12"/>
                <w:szCs w:val="12"/>
              </w:rPr>
              <w:t>10:30</w:t>
            </w:r>
          </w:p>
        </w:tc>
        <w:tc>
          <w:tcPr>
            <w:tcW w:w="517" w:type="dxa"/>
            <w:tcBorders>
              <w:top w:val="single" w:sz="4" w:space="0" w:color="DADADA"/>
              <w:left w:val="nil"/>
              <w:bottom w:val="nil"/>
              <w:right w:val="nil"/>
            </w:tcBorders>
            <w:shd w:val="clear" w:color="auto" w:fill="EDF4FA"/>
            <w:noWrap/>
            <w:tcMar>
              <w:top w:w="0" w:type="dxa"/>
              <w:left w:w="0" w:type="dxa"/>
              <w:bottom w:w="0" w:type="dxa"/>
              <w:right w:w="51" w:type="dxa"/>
            </w:tcMar>
            <w:vAlign w:val="center"/>
            <w:hideMark/>
          </w:tcPr>
          <w:p w:rsidR="00836A2B" w:rsidRPr="00836A2B" w:rsidRDefault="00836A2B" w:rsidP="00836A2B">
            <w:pPr>
              <w:spacing w:after="0" w:line="240" w:lineRule="auto"/>
              <w:rPr>
                <w:rFonts w:ascii="Arial" w:eastAsia="Times New Roman" w:hAnsi="Arial" w:cs="Arial"/>
                <w:color w:val="333333"/>
                <w:sz w:val="12"/>
                <w:szCs w:val="12"/>
              </w:rPr>
            </w:pPr>
            <w:r w:rsidRPr="00836A2B">
              <w:rPr>
                <w:rFonts w:ascii="Arial" w:eastAsia="Times New Roman" w:hAnsi="Arial" w:cs="Arial"/>
                <w:color w:val="333333"/>
                <w:sz w:val="12"/>
              </w:rPr>
              <w:t> </w:t>
            </w:r>
            <w:r w:rsidRPr="00836A2B">
              <w:rPr>
                <w:rFonts w:ascii="Arial" w:eastAsia="Times New Roman" w:hAnsi="Arial" w:cs="Arial"/>
                <w:color w:val="333333"/>
                <w:sz w:val="12"/>
                <w:szCs w:val="12"/>
              </w:rPr>
              <w:t> GBP</w:t>
            </w:r>
          </w:p>
        </w:tc>
        <w:tc>
          <w:tcPr>
            <w:tcW w:w="872" w:type="dxa"/>
            <w:tcBorders>
              <w:top w:val="single" w:sz="4" w:space="0" w:color="DADADA"/>
              <w:left w:val="nil"/>
              <w:bottom w:val="nil"/>
              <w:right w:val="nil"/>
            </w:tcBorders>
            <w:shd w:val="clear" w:color="auto" w:fill="EDF4FA"/>
            <w:noWrap/>
            <w:tcMar>
              <w:top w:w="0" w:type="dxa"/>
              <w:left w:w="101" w:type="dxa"/>
              <w:bottom w:w="0" w:type="dxa"/>
              <w:right w:w="51" w:type="dxa"/>
            </w:tcMar>
            <w:vAlign w:val="center"/>
            <w:hideMark/>
          </w:tcPr>
          <w:p w:rsidR="00836A2B" w:rsidRPr="00836A2B" w:rsidRDefault="00836A2B" w:rsidP="00836A2B">
            <w:pPr>
              <w:spacing w:after="0" w:line="240" w:lineRule="auto"/>
              <w:rPr>
                <w:rFonts w:ascii="Arial" w:eastAsia="Times New Roman" w:hAnsi="Arial" w:cs="Arial"/>
                <w:color w:val="333333"/>
                <w:sz w:val="12"/>
                <w:szCs w:val="12"/>
              </w:rPr>
            </w:pPr>
          </w:p>
        </w:tc>
        <w:tc>
          <w:tcPr>
            <w:tcW w:w="1856" w:type="dxa"/>
            <w:tcBorders>
              <w:top w:val="single" w:sz="4" w:space="0" w:color="DADADA"/>
              <w:left w:val="nil"/>
              <w:bottom w:val="nil"/>
              <w:right w:val="nil"/>
            </w:tcBorders>
            <w:shd w:val="clear" w:color="auto" w:fill="EDF4FA"/>
            <w:tcMar>
              <w:top w:w="20" w:type="dxa"/>
              <w:left w:w="0" w:type="dxa"/>
              <w:bottom w:w="20" w:type="dxa"/>
              <w:right w:w="0" w:type="dxa"/>
            </w:tcMar>
            <w:vAlign w:val="center"/>
            <w:hideMark/>
          </w:tcPr>
          <w:p w:rsidR="00836A2B" w:rsidRPr="00836A2B" w:rsidRDefault="00836A2B" w:rsidP="00836A2B">
            <w:pPr>
              <w:spacing w:after="0" w:line="193" w:lineRule="atLeast"/>
              <w:rPr>
                <w:rFonts w:ascii="inherit" w:eastAsia="Times New Roman" w:hAnsi="inherit" w:cs="Arial"/>
                <w:color w:val="333333"/>
                <w:sz w:val="12"/>
                <w:szCs w:val="12"/>
              </w:rPr>
            </w:pPr>
            <w:hyperlink r:id="rId7" w:tgtFrame="_blank" w:history="1">
              <w:r w:rsidRPr="00836A2B">
                <w:rPr>
                  <w:rFonts w:ascii="inherit" w:eastAsia="Times New Roman" w:hAnsi="inherit" w:cs="Arial"/>
                  <w:color w:val="333333"/>
                  <w:sz w:val="12"/>
                  <w:u w:val="single"/>
                </w:rPr>
                <w:t>Claimant Count Change (Jun)</w:t>
              </w:r>
            </w:hyperlink>
          </w:p>
        </w:tc>
        <w:tc>
          <w:tcPr>
            <w:tcW w:w="558"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inherit" w:eastAsia="Times New Roman" w:hAnsi="inherit" w:cs="Arial"/>
                <w:b/>
                <w:bCs/>
                <w:color w:val="000000"/>
                <w:sz w:val="12"/>
                <w:szCs w:val="12"/>
              </w:rPr>
            </w:pPr>
            <w:r w:rsidRPr="00836A2B">
              <w:rPr>
                <w:rFonts w:ascii="inherit" w:eastAsia="Times New Roman" w:hAnsi="inherit" w:cs="Arial"/>
                <w:b/>
                <w:bCs/>
                <w:color w:val="000000"/>
                <w:sz w:val="12"/>
                <w:szCs w:val="12"/>
              </w:rPr>
              <w:t> </w:t>
            </w:r>
          </w:p>
        </w:tc>
        <w:tc>
          <w:tcPr>
            <w:tcW w:w="629"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Arial" w:eastAsia="Times New Roman" w:hAnsi="Arial" w:cs="Arial"/>
                <w:color w:val="333333"/>
                <w:sz w:val="12"/>
                <w:szCs w:val="12"/>
              </w:rPr>
            </w:pPr>
            <w:r w:rsidRPr="00836A2B">
              <w:rPr>
                <w:rFonts w:ascii="Arial" w:eastAsia="Times New Roman" w:hAnsi="Arial" w:cs="Arial"/>
                <w:color w:val="333333"/>
                <w:sz w:val="12"/>
                <w:szCs w:val="12"/>
              </w:rPr>
              <w:t>18.9K</w:t>
            </w:r>
          </w:p>
        </w:tc>
        <w:tc>
          <w:tcPr>
            <w:tcW w:w="598" w:type="dxa"/>
            <w:tcBorders>
              <w:top w:val="single" w:sz="4" w:space="0" w:color="DADADA"/>
              <w:left w:val="nil"/>
              <w:bottom w:val="nil"/>
              <w:right w:val="nil"/>
            </w:tcBorders>
            <w:shd w:val="clear" w:color="auto" w:fill="EDF4FA"/>
            <w:tcMar>
              <w:top w:w="0" w:type="dxa"/>
              <w:left w:w="0" w:type="dxa"/>
              <w:bottom w:w="0" w:type="dxa"/>
              <w:right w:w="51" w:type="dxa"/>
            </w:tcMar>
            <w:vAlign w:val="center"/>
            <w:hideMark/>
          </w:tcPr>
          <w:p w:rsidR="00836A2B" w:rsidRPr="00836A2B" w:rsidRDefault="00836A2B" w:rsidP="00836A2B">
            <w:pPr>
              <w:spacing w:after="0" w:line="240" w:lineRule="auto"/>
              <w:jc w:val="right"/>
              <w:rPr>
                <w:rFonts w:ascii="Arial" w:eastAsia="Times New Roman" w:hAnsi="Arial" w:cs="Arial"/>
                <w:color w:val="000000"/>
                <w:sz w:val="12"/>
                <w:szCs w:val="12"/>
              </w:rPr>
            </w:pPr>
            <w:r w:rsidRPr="00836A2B">
              <w:rPr>
                <w:rFonts w:ascii="Arial" w:eastAsia="Times New Roman" w:hAnsi="Arial" w:cs="Arial"/>
                <w:color w:val="000000"/>
                <w:sz w:val="12"/>
                <w:szCs w:val="12"/>
                <w:bdr w:val="none" w:sz="0" w:space="0" w:color="auto" w:frame="1"/>
              </w:rPr>
              <w:t>23.2K</w:t>
            </w:r>
          </w:p>
        </w:tc>
        <w:tc>
          <w:tcPr>
            <w:tcW w:w="142" w:type="dxa"/>
            <w:tcBorders>
              <w:top w:val="single" w:sz="4" w:space="0" w:color="DADADA"/>
              <w:left w:val="nil"/>
              <w:bottom w:val="nil"/>
              <w:right w:val="nil"/>
            </w:tcBorders>
            <w:shd w:val="clear" w:color="auto" w:fill="EDF4FA"/>
            <w:tcMar>
              <w:top w:w="0" w:type="dxa"/>
              <w:left w:w="101" w:type="dxa"/>
              <w:bottom w:w="0" w:type="dxa"/>
              <w:right w:w="101" w:type="dxa"/>
            </w:tcMar>
            <w:vAlign w:val="center"/>
            <w:hideMark/>
          </w:tcPr>
          <w:p w:rsidR="00836A2B" w:rsidRPr="00836A2B" w:rsidRDefault="00836A2B" w:rsidP="00836A2B">
            <w:pPr>
              <w:spacing w:after="0" w:line="240" w:lineRule="auto"/>
              <w:jc w:val="right"/>
              <w:rPr>
                <w:rFonts w:ascii="Arial" w:eastAsia="Times New Roman" w:hAnsi="Arial" w:cs="Arial"/>
                <w:color w:val="333333"/>
                <w:sz w:val="12"/>
                <w:szCs w:val="12"/>
              </w:rPr>
            </w:pPr>
          </w:p>
        </w:tc>
      </w:tr>
    </w:tbl>
    <w:p w:rsidR="00836A2B" w:rsidRDefault="00836A2B"/>
    <w:p w:rsidR="00836A2B" w:rsidRDefault="00836A2B">
      <w:r>
        <w:lastRenderedPageBreak/>
        <w:tab/>
        <w:t xml:space="preserve">After that in 10.30 come GBP in place were expectations are also negative </w:t>
      </w:r>
      <w:proofErr w:type="spellStart"/>
      <w:r>
        <w:t>wich</w:t>
      </w:r>
      <w:proofErr w:type="spellEnd"/>
      <w:r>
        <w:t xml:space="preserve"> I expect to make another drop on these GBP pairs </w:t>
      </w:r>
      <w:proofErr w:type="spellStart"/>
      <w:r>
        <w:t>wich</w:t>
      </w:r>
      <w:proofErr w:type="spellEnd"/>
      <w:r>
        <w:t xml:space="preserve"> also can give as good possibilities. Mine chosen pairs during </w:t>
      </w:r>
      <w:proofErr w:type="gramStart"/>
      <w:r>
        <w:t>these event</w:t>
      </w:r>
      <w:proofErr w:type="gramEnd"/>
      <w:r>
        <w:t xml:space="preserve"> are GBP/USD and EUR/GBP </w:t>
      </w:r>
      <w:r>
        <w:sym w:font="Wingdings" w:char="F04A"/>
      </w:r>
    </w:p>
    <w:p w:rsidR="00836A2B" w:rsidRDefault="00836A2B">
      <w:r>
        <w:t xml:space="preserve"> </w:t>
      </w:r>
      <w:r>
        <w:rPr>
          <w:noProof/>
        </w:rPr>
        <w:drawing>
          <wp:inline distT="0" distB="0" distL="0" distR="0">
            <wp:extent cx="5943600" cy="1971040"/>
            <wp:effectExtent l="19050" t="0" r="0" b="0"/>
            <wp:docPr id="3" name="Picture 2" descr="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png"/>
                    <pic:cNvPicPr/>
                  </pic:nvPicPr>
                  <pic:blipFill>
                    <a:blip r:embed="rId8" cstate="print"/>
                    <a:stretch>
                      <a:fillRect/>
                    </a:stretch>
                  </pic:blipFill>
                  <pic:spPr>
                    <a:xfrm>
                      <a:off x="0" y="0"/>
                      <a:ext cx="5943600" cy="1971040"/>
                    </a:xfrm>
                    <a:prstGeom prst="rect">
                      <a:avLst/>
                    </a:prstGeom>
                  </pic:spPr>
                </pic:pic>
              </a:graphicData>
            </a:graphic>
          </wp:inline>
        </w:drawing>
      </w:r>
      <w:r w:rsidR="002E3988">
        <w:rPr>
          <w:noProof/>
        </w:rPr>
        <w:drawing>
          <wp:inline distT="0" distB="0" distL="0" distR="0">
            <wp:extent cx="5943600" cy="2014855"/>
            <wp:effectExtent l="19050" t="0" r="0" b="0"/>
            <wp:docPr id="4" name="Picture 3" descr="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2.png"/>
                    <pic:cNvPicPr/>
                  </pic:nvPicPr>
                  <pic:blipFill>
                    <a:blip r:embed="rId9" cstate="print"/>
                    <a:stretch>
                      <a:fillRect/>
                    </a:stretch>
                  </pic:blipFill>
                  <pic:spPr>
                    <a:xfrm>
                      <a:off x="0" y="0"/>
                      <a:ext cx="5943600" cy="2014855"/>
                    </a:xfrm>
                    <a:prstGeom prst="rect">
                      <a:avLst/>
                    </a:prstGeom>
                  </pic:spPr>
                </pic:pic>
              </a:graphicData>
            </a:graphic>
          </wp:inline>
        </w:drawing>
      </w:r>
    </w:p>
    <w:p w:rsidR="002E3988" w:rsidRDefault="002E3988"/>
    <w:p w:rsidR="002E3988" w:rsidRDefault="002E3988"/>
    <w:p w:rsidR="00836A2B" w:rsidRDefault="00836A2B"/>
    <w:p w:rsidR="00836A2B" w:rsidRDefault="00836A2B"/>
    <w:sectPr w:rsidR="00836A2B" w:rsidSect="002532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1C4127"/>
    <w:rsid w:val="001C4127"/>
    <w:rsid w:val="00253223"/>
    <w:rsid w:val="002E3988"/>
    <w:rsid w:val="00836A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2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4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127"/>
    <w:rPr>
      <w:rFonts w:ascii="Tahoma" w:hAnsi="Tahoma" w:cs="Tahoma"/>
      <w:sz w:val="16"/>
      <w:szCs w:val="16"/>
    </w:rPr>
  </w:style>
  <w:style w:type="character" w:customStyle="1" w:styleId="ceflags">
    <w:name w:val="ceflags"/>
    <w:basedOn w:val="DefaultParagraphFont"/>
    <w:rsid w:val="00836A2B"/>
  </w:style>
  <w:style w:type="character" w:styleId="Hyperlink">
    <w:name w:val="Hyperlink"/>
    <w:basedOn w:val="DefaultParagraphFont"/>
    <w:uiPriority w:val="99"/>
    <w:semiHidden/>
    <w:unhideWhenUsed/>
    <w:rsid w:val="00836A2B"/>
    <w:rPr>
      <w:color w:val="0000FF"/>
      <w:u w:val="single"/>
    </w:rPr>
  </w:style>
</w:styles>
</file>

<file path=word/webSettings.xml><?xml version="1.0" encoding="utf-8"?>
<w:webSettings xmlns:r="http://schemas.openxmlformats.org/officeDocument/2006/relationships" xmlns:w="http://schemas.openxmlformats.org/wordprocessingml/2006/main">
  <w:divs>
    <w:div w:id="371079706">
      <w:bodyDiv w:val="1"/>
      <w:marLeft w:val="0"/>
      <w:marRight w:val="0"/>
      <w:marTop w:val="0"/>
      <w:marBottom w:val="0"/>
      <w:divBdr>
        <w:top w:val="none" w:sz="0" w:space="0" w:color="auto"/>
        <w:left w:val="none" w:sz="0" w:space="0" w:color="auto"/>
        <w:bottom w:val="none" w:sz="0" w:space="0" w:color="auto"/>
        <w:right w:val="none" w:sz="0" w:space="0" w:color="auto"/>
      </w:divBdr>
    </w:div>
    <w:div w:id="169163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www.investing.com/economic-calendar/claimant-count-change-3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www.investing.com/economic-calendar/cpi-72"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Ramiz</cp:lastModifiedBy>
  <cp:revision>1</cp:revision>
  <dcterms:created xsi:type="dcterms:W3CDTF">2019-07-14T15:53:00Z</dcterms:created>
  <dcterms:modified xsi:type="dcterms:W3CDTF">2019-07-14T16:18:00Z</dcterms:modified>
</cp:coreProperties>
</file>