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F85" w:rsidRDefault="00B27F85" w:rsidP="00AF1FF1">
      <w:pPr>
        <w:pStyle w:val="Default"/>
        <w:jc w:val="center"/>
        <w:rPr>
          <w:rFonts w:cs="Castellar"/>
          <w:b/>
          <w:sz w:val="28"/>
          <w:szCs w:val="28"/>
          <w:lang w:val="en-US"/>
        </w:rPr>
      </w:pPr>
      <w:r w:rsidRPr="00EF7670">
        <w:rPr>
          <w:rFonts w:cs="Castellar"/>
          <w:b/>
          <w:sz w:val="28"/>
          <w:szCs w:val="28"/>
          <w:lang w:val="en-US"/>
        </w:rPr>
        <w:t>Volatility Models</w:t>
      </w:r>
    </w:p>
    <w:p w:rsidR="00AF1FF1" w:rsidRDefault="00AF1FF1" w:rsidP="00B27F85">
      <w:pPr>
        <w:pStyle w:val="Default"/>
        <w:rPr>
          <w:rFonts w:cs="Castellar"/>
          <w:b/>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Volatility has many dimensions.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There are </w:t>
      </w:r>
      <w:r>
        <w:rPr>
          <w:rFonts w:cs="Calibri"/>
          <w:sz w:val="28"/>
          <w:szCs w:val="28"/>
          <w:lang w:val="en-US"/>
        </w:rPr>
        <w:t>3</w:t>
      </w:r>
      <w:r w:rsidRPr="00F02C17">
        <w:rPr>
          <w:rFonts w:cs="Calibri"/>
          <w:sz w:val="28"/>
          <w:szCs w:val="28"/>
          <w:lang w:val="en-US"/>
        </w:rPr>
        <w:t xml:space="preserve"> primary types of volatilit</w:t>
      </w:r>
      <w:r w:rsidR="00AF1FF1">
        <w:rPr>
          <w:rFonts w:cs="Calibri"/>
          <w:sz w:val="28"/>
          <w:szCs w:val="28"/>
          <w:lang w:val="en-US"/>
        </w:rPr>
        <w:t>y that we measure and forecast :</w:t>
      </w:r>
    </w:p>
    <w:p w:rsidR="00AF1FF1" w:rsidRDefault="00AF1FF1" w:rsidP="00B27F85">
      <w:pPr>
        <w:pStyle w:val="Default"/>
        <w:rPr>
          <w:rFonts w:cs="Calibri"/>
          <w:sz w:val="28"/>
          <w:szCs w:val="28"/>
          <w:lang w:val="en-US"/>
        </w:rPr>
      </w:pPr>
    </w:p>
    <w:p w:rsidR="00AF1FF1" w:rsidRDefault="00AF1FF1" w:rsidP="00AF1FF1">
      <w:pPr>
        <w:pStyle w:val="Default"/>
        <w:numPr>
          <w:ilvl w:val="0"/>
          <w:numId w:val="1"/>
        </w:numPr>
        <w:rPr>
          <w:rFonts w:cs="Calibri"/>
          <w:sz w:val="28"/>
          <w:szCs w:val="28"/>
          <w:lang w:val="en-US"/>
        </w:rPr>
      </w:pPr>
      <w:r>
        <w:rPr>
          <w:rFonts w:cs="Calibri"/>
          <w:sz w:val="28"/>
          <w:szCs w:val="28"/>
          <w:lang w:val="en-US"/>
        </w:rPr>
        <w:t>The Internal Rate of Volatility</w:t>
      </w:r>
    </w:p>
    <w:p w:rsidR="00AF1FF1" w:rsidRDefault="00AF1FF1" w:rsidP="00AF1FF1">
      <w:pPr>
        <w:pStyle w:val="Default"/>
        <w:numPr>
          <w:ilvl w:val="0"/>
          <w:numId w:val="1"/>
        </w:numPr>
        <w:rPr>
          <w:rFonts w:cs="Calibri"/>
          <w:sz w:val="28"/>
          <w:szCs w:val="28"/>
          <w:lang w:val="en-US"/>
        </w:rPr>
      </w:pPr>
      <w:r>
        <w:rPr>
          <w:rFonts w:cs="Calibri"/>
          <w:sz w:val="28"/>
          <w:szCs w:val="28"/>
          <w:lang w:val="en-US"/>
        </w:rPr>
        <w:t>The Closing Rate of Volatility</w:t>
      </w:r>
    </w:p>
    <w:p w:rsidR="00AF1FF1" w:rsidRDefault="00AF1FF1" w:rsidP="00AF1FF1">
      <w:pPr>
        <w:pStyle w:val="Default"/>
        <w:numPr>
          <w:ilvl w:val="0"/>
          <w:numId w:val="1"/>
        </w:numPr>
        <w:rPr>
          <w:rFonts w:cs="Calibri"/>
          <w:sz w:val="28"/>
          <w:szCs w:val="28"/>
          <w:lang w:val="en-US"/>
        </w:rPr>
      </w:pPr>
      <w:r>
        <w:rPr>
          <w:rFonts w:cs="Calibri"/>
          <w:sz w:val="28"/>
          <w:szCs w:val="28"/>
          <w:lang w:val="en-US"/>
        </w:rPr>
        <w:t>The Overnight Volatility</w:t>
      </w:r>
    </w:p>
    <w:p w:rsidR="00AF1FF1" w:rsidRDefault="00AF1FF1" w:rsidP="00AF1FF1">
      <w:pPr>
        <w:pStyle w:val="Default"/>
        <w:numPr>
          <w:ilvl w:val="0"/>
          <w:numId w:val="1"/>
        </w:numPr>
        <w:rPr>
          <w:rFonts w:cs="Calibri"/>
          <w:sz w:val="28"/>
          <w:szCs w:val="28"/>
          <w:lang w:val="en-US"/>
        </w:rPr>
      </w:pPr>
      <w:r w:rsidRPr="00F02C17">
        <w:rPr>
          <w:rFonts w:cs="Calibri"/>
          <w:sz w:val="28"/>
          <w:szCs w:val="28"/>
          <w:lang w:val="en-US"/>
        </w:rPr>
        <w:t xml:space="preserve">Our Volatility Models accomplish by design a unique view of markets that is typically overlooked by many. </w:t>
      </w:r>
    </w:p>
    <w:p w:rsidR="00AF1FF1" w:rsidRDefault="00AF1FF1" w:rsidP="00AF1FF1">
      <w:pPr>
        <w:pStyle w:val="Default"/>
        <w:ind w:left="360"/>
        <w:rPr>
          <w:rFonts w:cs="Calibri"/>
          <w:sz w:val="28"/>
          <w:szCs w:val="28"/>
          <w:lang w:val="en-US"/>
        </w:rPr>
      </w:pPr>
    </w:p>
    <w:p w:rsidR="00AF1FF1" w:rsidRDefault="00AF1FF1" w:rsidP="00AF1FF1">
      <w:pPr>
        <w:pStyle w:val="Default"/>
        <w:rPr>
          <w:rFonts w:cs="Calibri"/>
          <w:sz w:val="28"/>
          <w:szCs w:val="28"/>
          <w:lang w:val="en-US"/>
        </w:rPr>
      </w:pPr>
      <w:r w:rsidRPr="00F02C17">
        <w:rPr>
          <w:rFonts w:cs="Calibri"/>
          <w:sz w:val="28"/>
          <w:szCs w:val="28"/>
          <w:lang w:val="en-US"/>
        </w:rPr>
        <w:t xml:space="preserve">There are in total 14 different volatility perspectives employed by the computer. </w:t>
      </w:r>
    </w:p>
    <w:p w:rsidR="00AF1FF1" w:rsidRDefault="00AF1FF1" w:rsidP="00AF1FF1">
      <w:pPr>
        <w:pStyle w:val="Default"/>
        <w:rPr>
          <w:rFonts w:cs="Calibri"/>
          <w:sz w:val="28"/>
          <w:szCs w:val="28"/>
          <w:lang w:val="en-US"/>
        </w:rPr>
      </w:pPr>
    </w:p>
    <w:p w:rsidR="00AF1FF1" w:rsidRDefault="00AF1FF1" w:rsidP="00AF1FF1">
      <w:pPr>
        <w:pStyle w:val="Default"/>
        <w:rPr>
          <w:rFonts w:cs="Calibri"/>
          <w:sz w:val="28"/>
          <w:szCs w:val="28"/>
          <w:lang w:val="en-US"/>
        </w:rPr>
      </w:pPr>
      <w:r w:rsidRPr="00F02C17">
        <w:rPr>
          <w:rFonts w:cs="Calibri"/>
          <w:sz w:val="28"/>
          <w:szCs w:val="28"/>
          <w:lang w:val="en-US"/>
        </w:rPr>
        <w:t xml:space="preserve">The results have always been fascinating.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The first is what perhaps most people see and experience gaining the headline news. </w:t>
      </w:r>
    </w:p>
    <w:p w:rsidR="00AF1FF1" w:rsidRDefault="00AF1FF1" w:rsidP="00B27F85">
      <w:pPr>
        <w:pStyle w:val="Default"/>
        <w:rPr>
          <w:rFonts w:cs="Calibri"/>
          <w:sz w:val="28"/>
          <w:szCs w:val="28"/>
          <w:lang w:val="en-US"/>
        </w:rPr>
      </w:pPr>
    </w:p>
    <w:p w:rsidR="00AF1FF1" w:rsidRDefault="00AF1FF1" w:rsidP="00AF1FF1">
      <w:pPr>
        <w:pStyle w:val="Default"/>
        <w:jc w:val="center"/>
        <w:rPr>
          <w:rFonts w:cs="Calibri"/>
          <w:sz w:val="28"/>
          <w:szCs w:val="28"/>
          <w:lang w:val="en-US"/>
        </w:rPr>
      </w:pPr>
      <w:r w:rsidRPr="00AF1FF1">
        <w:rPr>
          <w:rFonts w:cs="Calibri"/>
          <w:sz w:val="28"/>
          <w:szCs w:val="28"/>
          <w:lang w:val="en-US"/>
        </w:rPr>
        <w:drawing>
          <wp:inline distT="0" distB="0" distL="0" distR="0">
            <wp:extent cx="5591175" cy="4438650"/>
            <wp:effectExtent l="19050" t="0" r="9525"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591175" cy="4438650"/>
                    </a:xfrm>
                    <a:prstGeom prst="rect">
                      <a:avLst/>
                    </a:prstGeom>
                    <a:noFill/>
                    <a:ln w="9525">
                      <a:noFill/>
                      <a:miter lim="800000"/>
                      <a:headEnd/>
                      <a:tailEnd/>
                    </a:ln>
                  </pic:spPr>
                </pic:pic>
              </a:graphicData>
            </a:graphic>
          </wp:inline>
        </w:drawing>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Picture here is what we call the </w:t>
      </w:r>
      <w:r w:rsidRPr="00B27F85">
        <w:rPr>
          <w:rFonts w:cs="Calibri"/>
          <w:b/>
          <w:sz w:val="28"/>
          <w:szCs w:val="28"/>
          <w:lang w:val="en-US"/>
        </w:rPr>
        <w:t>INTERNAL RATE OF VOLATILITY</w:t>
      </w:r>
      <w:r w:rsidRPr="00F02C17">
        <w:rPr>
          <w:rFonts w:cs="Calibri"/>
          <w:sz w:val="28"/>
          <w:szCs w:val="28"/>
          <w:lang w:val="en-US"/>
        </w:rPr>
        <w:t xml:space="preserve">.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This is measured solely on a trading session basis be it a day, week, month, quarter, or year.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In other words, this is the percentage price movement between the high and low strictly for that session.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You will notice that on this basis, the volatility during the Great Depression actually increased going into the lows while it did not capture the headlines,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However, a 20 point move when the market is trading at 60 points is a 33% price movement whereas the big point drops.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For example, the week of October 28th, 1929 where there was the biggest point drops in a single day moved only 295 to 252 internally for the week. </w:t>
      </w:r>
    </w:p>
    <w:p w:rsidR="00B27F85" w:rsidRDefault="00B27F85" w:rsidP="00B27F85">
      <w:pPr>
        <w:pStyle w:val="Default"/>
        <w:rPr>
          <w:rFonts w:cs="Calibri"/>
          <w:sz w:val="28"/>
          <w:szCs w:val="28"/>
          <w:lang w:val="en-US"/>
        </w:rPr>
      </w:pPr>
    </w:p>
    <w:p w:rsidR="00B27F85" w:rsidRPr="00F02C17" w:rsidRDefault="00B27F85" w:rsidP="00B27F85">
      <w:pPr>
        <w:pStyle w:val="Default"/>
        <w:rPr>
          <w:rFonts w:cs="Calibri"/>
          <w:sz w:val="28"/>
          <w:szCs w:val="28"/>
          <w:lang w:val="en-US"/>
        </w:rPr>
      </w:pPr>
      <w:r w:rsidRPr="00F02C17">
        <w:rPr>
          <w:rFonts w:cs="Calibri"/>
          <w:sz w:val="28"/>
          <w:szCs w:val="28"/>
          <w:lang w:val="en-US"/>
        </w:rPr>
        <w:t xml:space="preserve">This was a 14.49% rate of volatility.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Measuring the INTERNAL RATE OF VOLATILITY (high-low) we actually reached the peak AFTER the week of July 4th when the low was established.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This high came 4 weeks after the low during the week of August 1st, 1932.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This produced a 22.48% percentage move to the upside.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This is what most would call a short-cover rally.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Therefore, measuring volatility only on an internal rate perspective, the high was a short-cover rally AFTER the major low rather than in a panic sell-off from the high. </w:t>
      </w: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AF1FF1">
      <w:pPr>
        <w:pStyle w:val="Default"/>
        <w:rPr>
          <w:rFonts w:cs="Calibri"/>
          <w:sz w:val="28"/>
          <w:szCs w:val="28"/>
          <w:lang w:val="en-US"/>
        </w:rPr>
      </w:pPr>
      <w:r w:rsidRPr="00F02C17">
        <w:rPr>
          <w:rFonts w:cs="Calibri"/>
          <w:sz w:val="28"/>
          <w:szCs w:val="28"/>
          <w:lang w:val="en-US"/>
        </w:rPr>
        <w:t xml:space="preserve">Now let use look at the </w:t>
      </w:r>
      <w:r w:rsidRPr="00B27F85">
        <w:rPr>
          <w:rFonts w:cs="Calibri"/>
          <w:b/>
          <w:sz w:val="28"/>
          <w:szCs w:val="28"/>
          <w:lang w:val="en-US"/>
        </w:rPr>
        <w:t>Closing Rate of Volatility</w:t>
      </w:r>
      <w:r w:rsidRPr="00F02C17">
        <w:rPr>
          <w:rFonts w:cs="Calibri"/>
          <w:sz w:val="28"/>
          <w:szCs w:val="28"/>
          <w:lang w:val="en-US"/>
        </w:rPr>
        <w:t xml:space="preserve"> measure between the close of the previous session to the close of the current session. </w:t>
      </w: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AF1FF1">
      <w:pPr>
        <w:pStyle w:val="Default"/>
        <w:jc w:val="center"/>
        <w:rPr>
          <w:rFonts w:cs="Calibri"/>
          <w:sz w:val="28"/>
          <w:szCs w:val="28"/>
          <w:lang w:val="en-US"/>
        </w:rPr>
      </w:pPr>
      <w:r>
        <w:rPr>
          <w:rFonts w:cs="Calibri"/>
          <w:noProof/>
          <w:sz w:val="28"/>
          <w:szCs w:val="28"/>
          <w:lang w:eastAsia="fr-FR"/>
        </w:rPr>
        <w:drawing>
          <wp:inline distT="0" distB="0" distL="0" distR="0">
            <wp:extent cx="4181475" cy="3267075"/>
            <wp:effectExtent l="1905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4181475" cy="3267075"/>
                    </a:xfrm>
                    <a:prstGeom prst="rect">
                      <a:avLst/>
                    </a:prstGeom>
                    <a:noFill/>
                    <a:ln w="9525">
                      <a:noFill/>
                      <a:miter lim="800000"/>
                      <a:headEnd/>
                      <a:tailEnd/>
                    </a:ln>
                  </pic:spPr>
                </pic:pic>
              </a:graphicData>
            </a:graphic>
          </wp:inline>
        </w:drawing>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Here once again, we have the high forming the week of August 1st, 1932 whereas the previous week close was 54.3 and the current week closed at 66.6.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This represented a 22.65% gain.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The sharpest decline came during the week of November 4th, 1929 with a 12.85% decline on a closing basis. </w:t>
      </w:r>
    </w:p>
    <w:p w:rsidR="00B27F85" w:rsidRDefault="00B27F85" w:rsidP="00B27F85">
      <w:pPr>
        <w:pStyle w:val="Default"/>
        <w:rPr>
          <w:rFonts w:cs="Calibri"/>
          <w:sz w:val="28"/>
          <w:szCs w:val="28"/>
          <w:lang w:val="en-US"/>
        </w:rPr>
      </w:pPr>
    </w:p>
    <w:p w:rsidR="00B27F85" w:rsidRPr="00F02C17" w:rsidRDefault="00B27F85" w:rsidP="00B27F85">
      <w:pPr>
        <w:pStyle w:val="Default"/>
        <w:rPr>
          <w:rFonts w:cs="Calibri"/>
          <w:sz w:val="28"/>
          <w:szCs w:val="28"/>
          <w:lang w:val="en-US"/>
        </w:rPr>
      </w:pPr>
      <w:r w:rsidRPr="00F02C17">
        <w:rPr>
          <w:rFonts w:cs="Calibri"/>
          <w:sz w:val="28"/>
          <w:szCs w:val="28"/>
          <w:lang w:val="en-US"/>
        </w:rPr>
        <w:t xml:space="preserve">Once again, what we are seeing here is the largest percentage movement actually took place after the low in 1932 and NOT at the high in 1929. </w:t>
      </w:r>
    </w:p>
    <w:p w:rsidR="00B27F85" w:rsidRDefault="00B27F85"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AF1FF1" w:rsidRDefault="00AF1FF1"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Our third view of volatility is </w:t>
      </w:r>
      <w:r w:rsidRPr="00B27F85">
        <w:rPr>
          <w:rFonts w:cs="Calibri"/>
          <w:b/>
          <w:sz w:val="28"/>
          <w:szCs w:val="28"/>
          <w:lang w:val="en-US"/>
        </w:rPr>
        <w:t>the Overnight Volatility</w:t>
      </w:r>
      <w:r w:rsidRPr="00F02C17">
        <w:rPr>
          <w:rFonts w:cs="Calibri"/>
          <w:sz w:val="28"/>
          <w:szCs w:val="28"/>
          <w:lang w:val="en-US"/>
        </w:rPr>
        <w:t xml:space="preserve">.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This is measured between the close of the previous day and the opening bell of the current trading session. </w:t>
      </w:r>
    </w:p>
    <w:p w:rsidR="00AF1FF1" w:rsidRDefault="00AF1FF1" w:rsidP="00B27F85">
      <w:pPr>
        <w:pStyle w:val="Default"/>
        <w:rPr>
          <w:rFonts w:cs="Calibri"/>
          <w:sz w:val="28"/>
          <w:szCs w:val="28"/>
          <w:lang w:val="en-US"/>
        </w:rPr>
      </w:pPr>
    </w:p>
    <w:p w:rsidR="00AF1FF1" w:rsidRDefault="00AF1FF1" w:rsidP="00AF1FF1">
      <w:pPr>
        <w:pStyle w:val="Default"/>
        <w:jc w:val="center"/>
        <w:rPr>
          <w:rFonts w:cs="Calibri"/>
          <w:sz w:val="28"/>
          <w:szCs w:val="28"/>
          <w:lang w:val="en-US"/>
        </w:rPr>
      </w:pPr>
      <w:r>
        <w:rPr>
          <w:rFonts w:cs="Calibri"/>
          <w:noProof/>
          <w:sz w:val="28"/>
          <w:szCs w:val="28"/>
          <w:lang w:eastAsia="fr-FR"/>
        </w:rPr>
        <w:drawing>
          <wp:inline distT="0" distB="0" distL="0" distR="0">
            <wp:extent cx="4371975" cy="3457575"/>
            <wp:effectExtent l="19050" t="0" r="952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4371975" cy="3457575"/>
                    </a:xfrm>
                    <a:prstGeom prst="rect">
                      <a:avLst/>
                    </a:prstGeom>
                    <a:noFill/>
                    <a:ln w="9525">
                      <a:noFill/>
                      <a:miter lim="800000"/>
                      <a:headEnd/>
                      <a:tailEnd/>
                    </a:ln>
                  </pic:spPr>
                </pic:pic>
              </a:graphicData>
            </a:graphic>
          </wp:inline>
        </w:drawing>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Now when we look at volatility in this perspective the actual peak in Overnight Volatility took place the week of June 17th, 1929 which is the breakout to the upside moving into the final high that comes in the week of August 26th, 1929.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The week of November 4th, 1919 opened down 4.15% which was the biggest overnight drop. </w:t>
      </w:r>
    </w:p>
    <w:p w:rsidR="00B27F85" w:rsidRDefault="00B27F85" w:rsidP="00B27F85">
      <w:pPr>
        <w:pStyle w:val="Default"/>
        <w:rPr>
          <w:rFonts w:cs="Calibri"/>
          <w:sz w:val="28"/>
          <w:szCs w:val="28"/>
          <w:lang w:val="en-US"/>
        </w:rPr>
      </w:pPr>
    </w:p>
    <w:p w:rsidR="00B27F85" w:rsidRPr="00F02C17" w:rsidRDefault="00B27F85" w:rsidP="00B27F85">
      <w:pPr>
        <w:pStyle w:val="Default"/>
        <w:rPr>
          <w:rFonts w:cs="Calibri"/>
          <w:sz w:val="28"/>
          <w:szCs w:val="28"/>
          <w:lang w:val="en-US"/>
        </w:rPr>
      </w:pPr>
      <w:r w:rsidRPr="00F02C17">
        <w:rPr>
          <w:rFonts w:cs="Calibri"/>
          <w:sz w:val="28"/>
          <w:szCs w:val="28"/>
          <w:lang w:val="en-US"/>
        </w:rPr>
        <w:t xml:space="preserve">Nonetheless, this is just a sample of how we look at volatility on many different facets.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r w:rsidRPr="00F02C17">
        <w:rPr>
          <w:rFonts w:cs="Calibri"/>
          <w:sz w:val="28"/>
          <w:szCs w:val="28"/>
          <w:lang w:val="en-US"/>
        </w:rPr>
        <w:t xml:space="preserve">It is of critical importance to also understand that markets move in many different ways. </w:t>
      </w:r>
    </w:p>
    <w:p w:rsidR="00B27F85" w:rsidRDefault="00B27F85" w:rsidP="00B27F85">
      <w:pPr>
        <w:pStyle w:val="Default"/>
        <w:rPr>
          <w:rFonts w:cs="Calibri"/>
          <w:sz w:val="28"/>
          <w:szCs w:val="28"/>
          <w:lang w:val="en-US"/>
        </w:rPr>
      </w:pPr>
    </w:p>
    <w:p w:rsidR="00B27F85" w:rsidRPr="00F02C17" w:rsidRDefault="00B27F85" w:rsidP="00B27F85">
      <w:pPr>
        <w:pStyle w:val="Default"/>
        <w:rPr>
          <w:rFonts w:cs="Calibri"/>
          <w:sz w:val="28"/>
          <w:szCs w:val="28"/>
          <w:lang w:val="en-US"/>
        </w:rPr>
      </w:pPr>
      <w:r w:rsidRPr="00F02C17">
        <w:rPr>
          <w:rFonts w:cs="Calibri"/>
          <w:sz w:val="28"/>
          <w:szCs w:val="28"/>
          <w:lang w:val="en-US"/>
        </w:rPr>
        <w:t xml:space="preserve">What appears to be one dimension is actually highly complex and pealing back each layer reveals some very interesting perspectives. </w:t>
      </w:r>
    </w:p>
    <w:p w:rsidR="00B27F85" w:rsidRDefault="00B27F85" w:rsidP="00B27F85">
      <w:pPr>
        <w:pStyle w:val="Default"/>
        <w:rPr>
          <w:rFonts w:cs="Calibri"/>
          <w:sz w:val="28"/>
          <w:szCs w:val="28"/>
          <w:lang w:val="en-US"/>
        </w:rPr>
      </w:pPr>
    </w:p>
    <w:p w:rsidR="00B27F85" w:rsidRDefault="00B27F85" w:rsidP="00B27F85">
      <w:pPr>
        <w:pStyle w:val="Default"/>
        <w:rPr>
          <w:rFonts w:cs="Calibri"/>
          <w:sz w:val="28"/>
          <w:szCs w:val="28"/>
          <w:lang w:val="en-US"/>
        </w:rPr>
      </w:pPr>
    </w:p>
    <w:p w:rsidR="004F6D64" w:rsidRPr="00B27F85" w:rsidRDefault="004F6D64">
      <w:pPr>
        <w:rPr>
          <w:lang w:val="en-US"/>
        </w:rPr>
      </w:pPr>
    </w:p>
    <w:sectPr w:rsidR="004F6D64" w:rsidRPr="00B27F85" w:rsidSect="00B27F85">
      <w:footerReference w:type="default" r:id="rId10"/>
      <w:pgSz w:w="11906" w:h="16838"/>
      <w:pgMar w:top="851" w:right="851" w:bottom="851"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BE2" w:rsidRDefault="00476BE2" w:rsidP="00AF1FF1">
      <w:r>
        <w:separator/>
      </w:r>
    </w:p>
  </w:endnote>
  <w:endnote w:type="continuationSeparator" w:id="0">
    <w:p w:rsidR="00476BE2" w:rsidRDefault="00476BE2" w:rsidP="00AF1FF1">
      <w:r>
        <w:continuationSeparator/>
      </w:r>
    </w:p>
  </w:endnote>
</w:endnotes>
</file>

<file path=word/fontTable.xml><?xml version="1.0" encoding="utf-8"?>
<w:fonts xmlns:r="http://schemas.openxmlformats.org/officeDocument/2006/relationships" xmlns:w="http://schemas.openxmlformats.org/wordprocessingml/2006/main">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stellar">
    <w:altName w:val="Castel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76214"/>
      <w:docPartObj>
        <w:docPartGallery w:val="Page Numbers (Bottom of Page)"/>
        <w:docPartUnique/>
      </w:docPartObj>
    </w:sdtPr>
    <w:sdtContent>
      <w:p w:rsidR="00AF1FF1" w:rsidRDefault="00AF1FF1">
        <w:pPr>
          <w:pStyle w:val="Pieddepage"/>
          <w:jc w:val="right"/>
        </w:pPr>
        <w:fldSimple w:instr=" PAGE   \* MERGEFORMAT ">
          <w:r w:rsidR="00476BE2">
            <w:rPr>
              <w:noProof/>
            </w:rPr>
            <w:t>1</w:t>
          </w:r>
        </w:fldSimple>
        <w:r>
          <w:t>/4</w:t>
        </w:r>
      </w:p>
    </w:sdtContent>
  </w:sdt>
  <w:p w:rsidR="00AF1FF1" w:rsidRDefault="00AF1FF1">
    <w:pPr>
      <w:pStyle w:val="Pieddepage"/>
    </w:pPr>
    <w:r>
      <w:t>Armstrong – Volatility Models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BE2" w:rsidRDefault="00476BE2" w:rsidP="00AF1FF1">
      <w:r>
        <w:separator/>
      </w:r>
    </w:p>
  </w:footnote>
  <w:footnote w:type="continuationSeparator" w:id="0">
    <w:p w:rsidR="00476BE2" w:rsidRDefault="00476BE2" w:rsidP="00AF1F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81AEC"/>
    <w:multiLevelType w:val="hybridMultilevel"/>
    <w:tmpl w:val="F70632BC"/>
    <w:lvl w:ilvl="0" w:tplc="6ABAC90A">
      <w:numFmt w:val="bullet"/>
      <w:lvlText w:val="-"/>
      <w:lvlJc w:val="left"/>
      <w:pPr>
        <w:ind w:left="720" w:hanging="360"/>
      </w:pPr>
      <w:rPr>
        <w:rFonts w:ascii="Verdana" w:eastAsiaTheme="minorHAnsi" w:hAnsi="Verdana"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rsids>
    <w:rsidRoot w:val="00B27F85"/>
    <w:rsid w:val="00032980"/>
    <w:rsid w:val="00056624"/>
    <w:rsid w:val="00065E67"/>
    <w:rsid w:val="0007023F"/>
    <w:rsid w:val="000717E0"/>
    <w:rsid w:val="000906D9"/>
    <w:rsid w:val="00096605"/>
    <w:rsid w:val="000A02CE"/>
    <w:rsid w:val="000B3F92"/>
    <w:rsid w:val="000C6A01"/>
    <w:rsid w:val="000F6103"/>
    <w:rsid w:val="00112852"/>
    <w:rsid w:val="00113DAA"/>
    <w:rsid w:val="0015556F"/>
    <w:rsid w:val="00181573"/>
    <w:rsid w:val="001C6FFB"/>
    <w:rsid w:val="001F3B58"/>
    <w:rsid w:val="00216ED7"/>
    <w:rsid w:val="00223E80"/>
    <w:rsid w:val="0024109A"/>
    <w:rsid w:val="00246FA8"/>
    <w:rsid w:val="002537C8"/>
    <w:rsid w:val="00281438"/>
    <w:rsid w:val="00287A3D"/>
    <w:rsid w:val="002A5F6D"/>
    <w:rsid w:val="002C185C"/>
    <w:rsid w:val="002C216C"/>
    <w:rsid w:val="00331127"/>
    <w:rsid w:val="00336CEA"/>
    <w:rsid w:val="00340976"/>
    <w:rsid w:val="00340BDC"/>
    <w:rsid w:val="00366147"/>
    <w:rsid w:val="00396FAF"/>
    <w:rsid w:val="00410578"/>
    <w:rsid w:val="004231C1"/>
    <w:rsid w:val="0042322B"/>
    <w:rsid w:val="00434222"/>
    <w:rsid w:val="00444277"/>
    <w:rsid w:val="00456DEA"/>
    <w:rsid w:val="00476BE2"/>
    <w:rsid w:val="004D67A5"/>
    <w:rsid w:val="004E6410"/>
    <w:rsid w:val="004F23E4"/>
    <w:rsid w:val="004F6D64"/>
    <w:rsid w:val="0050416F"/>
    <w:rsid w:val="00504518"/>
    <w:rsid w:val="005169E0"/>
    <w:rsid w:val="005344C0"/>
    <w:rsid w:val="0054685F"/>
    <w:rsid w:val="005525EF"/>
    <w:rsid w:val="00554C53"/>
    <w:rsid w:val="005A289A"/>
    <w:rsid w:val="0062172B"/>
    <w:rsid w:val="0063664B"/>
    <w:rsid w:val="006C100A"/>
    <w:rsid w:val="006C2A42"/>
    <w:rsid w:val="006C67EB"/>
    <w:rsid w:val="00713572"/>
    <w:rsid w:val="0072706E"/>
    <w:rsid w:val="0074746B"/>
    <w:rsid w:val="00755E64"/>
    <w:rsid w:val="00762609"/>
    <w:rsid w:val="00764701"/>
    <w:rsid w:val="00775309"/>
    <w:rsid w:val="007D332C"/>
    <w:rsid w:val="008606B6"/>
    <w:rsid w:val="00865BD8"/>
    <w:rsid w:val="0086656A"/>
    <w:rsid w:val="008A5526"/>
    <w:rsid w:val="008B1990"/>
    <w:rsid w:val="008C3CE9"/>
    <w:rsid w:val="009011CE"/>
    <w:rsid w:val="009062E0"/>
    <w:rsid w:val="0092106A"/>
    <w:rsid w:val="0095062A"/>
    <w:rsid w:val="00961CCE"/>
    <w:rsid w:val="00973ABF"/>
    <w:rsid w:val="009769A2"/>
    <w:rsid w:val="009976B0"/>
    <w:rsid w:val="009C27B2"/>
    <w:rsid w:val="009D146F"/>
    <w:rsid w:val="009D1DF4"/>
    <w:rsid w:val="009D3E11"/>
    <w:rsid w:val="009E123B"/>
    <w:rsid w:val="00A14F14"/>
    <w:rsid w:val="00A23367"/>
    <w:rsid w:val="00A67E8B"/>
    <w:rsid w:val="00A8621C"/>
    <w:rsid w:val="00A86955"/>
    <w:rsid w:val="00A95853"/>
    <w:rsid w:val="00AB36AC"/>
    <w:rsid w:val="00AD7805"/>
    <w:rsid w:val="00AF1719"/>
    <w:rsid w:val="00AF1FF1"/>
    <w:rsid w:val="00B026BF"/>
    <w:rsid w:val="00B27F85"/>
    <w:rsid w:val="00B4016D"/>
    <w:rsid w:val="00B55F32"/>
    <w:rsid w:val="00B90B48"/>
    <w:rsid w:val="00BA0059"/>
    <w:rsid w:val="00BB5A7B"/>
    <w:rsid w:val="00BC00DA"/>
    <w:rsid w:val="00BF1E8E"/>
    <w:rsid w:val="00C10188"/>
    <w:rsid w:val="00C27A6D"/>
    <w:rsid w:val="00C430D0"/>
    <w:rsid w:val="00C55853"/>
    <w:rsid w:val="00C67CAB"/>
    <w:rsid w:val="00C8702C"/>
    <w:rsid w:val="00C9064C"/>
    <w:rsid w:val="00CA6A37"/>
    <w:rsid w:val="00CB389A"/>
    <w:rsid w:val="00CD6C80"/>
    <w:rsid w:val="00CE52C9"/>
    <w:rsid w:val="00CF7A69"/>
    <w:rsid w:val="00D17546"/>
    <w:rsid w:val="00D407DC"/>
    <w:rsid w:val="00D53D9F"/>
    <w:rsid w:val="00D658FE"/>
    <w:rsid w:val="00D7644E"/>
    <w:rsid w:val="00DB1C3A"/>
    <w:rsid w:val="00DB7393"/>
    <w:rsid w:val="00DB7AA5"/>
    <w:rsid w:val="00DE2BB1"/>
    <w:rsid w:val="00DF6404"/>
    <w:rsid w:val="00E90C39"/>
    <w:rsid w:val="00ED6F92"/>
    <w:rsid w:val="00F0418D"/>
    <w:rsid w:val="00F3766E"/>
    <w:rsid w:val="00F61EF9"/>
    <w:rsid w:val="00F763E7"/>
    <w:rsid w:val="00FE3238"/>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D6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B27F85"/>
    <w:pPr>
      <w:autoSpaceDE w:val="0"/>
      <w:autoSpaceDN w:val="0"/>
      <w:adjustRightInd w:val="0"/>
    </w:pPr>
    <w:rPr>
      <w:rFonts w:ascii="Verdana" w:hAnsi="Verdana" w:cs="Verdana"/>
      <w:color w:val="000000"/>
      <w:sz w:val="24"/>
      <w:szCs w:val="24"/>
    </w:rPr>
  </w:style>
  <w:style w:type="paragraph" w:styleId="Textedebulles">
    <w:name w:val="Balloon Text"/>
    <w:basedOn w:val="Normal"/>
    <w:link w:val="TextedebullesCar"/>
    <w:uiPriority w:val="99"/>
    <w:semiHidden/>
    <w:unhideWhenUsed/>
    <w:rsid w:val="00AF1FF1"/>
    <w:rPr>
      <w:rFonts w:ascii="Tahoma" w:hAnsi="Tahoma" w:cs="Tahoma"/>
      <w:sz w:val="16"/>
      <w:szCs w:val="16"/>
    </w:rPr>
  </w:style>
  <w:style w:type="character" w:customStyle="1" w:styleId="TextedebullesCar">
    <w:name w:val="Texte de bulles Car"/>
    <w:basedOn w:val="Policepardfaut"/>
    <w:link w:val="Textedebulles"/>
    <w:uiPriority w:val="99"/>
    <w:semiHidden/>
    <w:rsid w:val="00AF1FF1"/>
    <w:rPr>
      <w:rFonts w:ascii="Tahoma" w:hAnsi="Tahoma" w:cs="Tahoma"/>
      <w:sz w:val="16"/>
      <w:szCs w:val="16"/>
    </w:rPr>
  </w:style>
  <w:style w:type="paragraph" w:styleId="En-tte">
    <w:name w:val="header"/>
    <w:basedOn w:val="Normal"/>
    <w:link w:val="En-tteCar"/>
    <w:uiPriority w:val="99"/>
    <w:semiHidden/>
    <w:unhideWhenUsed/>
    <w:rsid w:val="00AF1FF1"/>
    <w:pPr>
      <w:tabs>
        <w:tab w:val="center" w:pos="4536"/>
        <w:tab w:val="right" w:pos="9072"/>
      </w:tabs>
    </w:pPr>
  </w:style>
  <w:style w:type="character" w:customStyle="1" w:styleId="En-tteCar">
    <w:name w:val="En-tête Car"/>
    <w:basedOn w:val="Policepardfaut"/>
    <w:link w:val="En-tte"/>
    <w:uiPriority w:val="99"/>
    <w:semiHidden/>
    <w:rsid w:val="00AF1FF1"/>
  </w:style>
  <w:style w:type="paragraph" w:styleId="Pieddepage">
    <w:name w:val="footer"/>
    <w:basedOn w:val="Normal"/>
    <w:link w:val="PieddepageCar"/>
    <w:uiPriority w:val="99"/>
    <w:unhideWhenUsed/>
    <w:rsid w:val="00AF1FF1"/>
    <w:pPr>
      <w:tabs>
        <w:tab w:val="center" w:pos="4536"/>
        <w:tab w:val="right" w:pos="9072"/>
      </w:tabs>
    </w:pPr>
  </w:style>
  <w:style w:type="character" w:customStyle="1" w:styleId="PieddepageCar">
    <w:name w:val="Pied de page Car"/>
    <w:basedOn w:val="Policepardfaut"/>
    <w:link w:val="Pieddepage"/>
    <w:uiPriority w:val="99"/>
    <w:rsid w:val="00AF1FF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491</Words>
  <Characters>2703</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dc:creator>
  <cp:lastModifiedBy>alain </cp:lastModifiedBy>
  <cp:revision>2</cp:revision>
  <cp:lastPrinted>2011-11-24T17:07:00Z</cp:lastPrinted>
  <dcterms:created xsi:type="dcterms:W3CDTF">2011-11-24T03:32:00Z</dcterms:created>
  <dcterms:modified xsi:type="dcterms:W3CDTF">2011-11-24T17:22:00Z</dcterms:modified>
</cp:coreProperties>
</file>