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90"/>
        <w:tblOverlap w:val="neve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779"/>
        <w:gridCol w:w="4797"/>
      </w:tblGrid>
      <w:tr w:rsidR="00937943" w:rsidRPr="00937943" w:rsidTr="00937943">
        <w:trPr>
          <w:trHeight w:val="694"/>
        </w:trPr>
        <w:tc>
          <w:tcPr>
            <w:tcW w:w="9576" w:type="dxa"/>
            <w:gridSpan w:val="2"/>
            <w:tcBorders>
              <w:top w:val="single" w:sz="4" w:space="0" w:color="auto"/>
              <w:left w:val="single" w:sz="4" w:space="0" w:color="auto"/>
              <w:bottom w:val="single" w:sz="4" w:space="0" w:color="auto"/>
              <w:right w:val="single" w:sz="4" w:space="0" w:color="auto"/>
            </w:tcBorders>
            <w:hideMark/>
          </w:tcPr>
          <w:p w:rsidR="00937943" w:rsidRPr="00937943" w:rsidRDefault="00937943" w:rsidP="00937943">
            <w:pPr>
              <w:spacing w:after="0" w:line="240" w:lineRule="auto"/>
              <w:jc w:val="center"/>
              <w:rPr>
                <w:rFonts w:ascii="Times New Roman" w:eastAsia="Times New Roman" w:hAnsi="Times New Roman" w:cs="Times New Roman"/>
                <w:color w:val="000000"/>
                <w:sz w:val="24"/>
                <w:szCs w:val="24"/>
              </w:rPr>
            </w:pPr>
            <w:r w:rsidRPr="00937943">
              <w:rPr>
                <w:rFonts w:ascii="Times New Roman" w:eastAsia="Times New Roman" w:hAnsi="Times New Roman" w:cs="Times New Roman"/>
                <w:color w:val="000000"/>
                <w:sz w:val="44"/>
              </w:rPr>
              <w:t>EUR</w:t>
            </w:r>
            <w:r w:rsidRPr="00937943">
              <w:rPr>
                <w:rFonts w:ascii="Times New Roman" w:eastAsia="Times New Roman" w:hAnsi="Times New Roman" w:cs="Times New Roman"/>
                <w:color w:val="000000"/>
                <w:sz w:val="24"/>
                <w:szCs w:val="24"/>
              </w:rPr>
              <w:t xml:space="preserve"> </w:t>
            </w:r>
          </w:p>
        </w:tc>
      </w:tr>
      <w:tr w:rsidR="00937943" w:rsidRPr="00937943" w:rsidTr="00937943">
        <w:trPr>
          <w:trHeight w:val="404"/>
        </w:trPr>
        <w:tc>
          <w:tcPr>
            <w:tcW w:w="9576"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937943" w:rsidRPr="00937943" w:rsidRDefault="00937943" w:rsidP="00937943">
            <w:pPr>
              <w:spacing w:after="0" w:line="240" w:lineRule="auto"/>
              <w:jc w:val="center"/>
              <w:rPr>
                <w:rFonts w:ascii="Times New Roman" w:eastAsia="Times New Roman" w:hAnsi="Times New Roman" w:cs="Times New Roman"/>
                <w:color w:val="000000"/>
                <w:sz w:val="24"/>
                <w:szCs w:val="24"/>
              </w:rPr>
            </w:pPr>
            <w:r w:rsidRPr="00937943">
              <w:rPr>
                <w:rFonts w:ascii="Times New Roman" w:eastAsia="Times New Roman" w:hAnsi="Times New Roman" w:cs="Times New Roman"/>
                <w:color w:val="000000"/>
                <w:sz w:val="36"/>
                <w:szCs w:val="36"/>
              </w:rPr>
              <w:t>Current Sentiment – Mixed on uncertainty of future ECB Interest Rate policy decisions</w:t>
            </w:r>
          </w:p>
        </w:tc>
      </w:tr>
      <w:tr w:rsidR="00937943" w:rsidRPr="00937943" w:rsidTr="00937943">
        <w:trPr>
          <w:trHeight w:val="1390"/>
        </w:trPr>
        <w:tc>
          <w:tcPr>
            <w:tcW w:w="9576" w:type="dxa"/>
            <w:gridSpan w:val="2"/>
            <w:tcBorders>
              <w:top w:val="single" w:sz="4" w:space="0" w:color="auto"/>
              <w:left w:val="single" w:sz="4" w:space="0" w:color="auto"/>
              <w:bottom w:val="single" w:sz="4" w:space="0" w:color="auto"/>
              <w:right w:val="single" w:sz="4" w:space="0" w:color="auto"/>
            </w:tcBorders>
            <w:hideMark/>
          </w:tcPr>
          <w:p w:rsidR="00937943" w:rsidRPr="00937943" w:rsidRDefault="00937943" w:rsidP="00937943">
            <w:pPr>
              <w:spacing w:after="0" w:line="240" w:lineRule="auto"/>
              <w:rPr>
                <w:rFonts w:ascii="Times New Roman" w:eastAsia="Times New Roman" w:hAnsi="Times New Roman" w:cs="Times New Roman"/>
                <w:color w:val="000000"/>
                <w:sz w:val="24"/>
                <w:szCs w:val="24"/>
              </w:rPr>
            </w:pPr>
            <w:r w:rsidRPr="00937943">
              <w:rPr>
                <w:rFonts w:ascii="Times New Roman" w:eastAsia="Times New Roman" w:hAnsi="Times New Roman" w:cs="Times New Roman"/>
                <w:color w:val="000000"/>
                <w:sz w:val="20"/>
                <w:szCs w:val="20"/>
              </w:rPr>
              <w:t xml:space="preserve">The slow recovery of the Euro Zone continues.  The ECB has taken no action since the Nov 2013 rate cut.  With Germany showing continued signs of strength and other EZ members showing signs of slow recovery, the exception being </w:t>
            </w:r>
            <w:proofErr w:type="gramStart"/>
            <w:r w:rsidRPr="00937943">
              <w:rPr>
                <w:rFonts w:ascii="Times New Roman" w:eastAsia="Times New Roman" w:hAnsi="Times New Roman" w:cs="Times New Roman"/>
                <w:color w:val="000000"/>
                <w:sz w:val="20"/>
                <w:szCs w:val="20"/>
              </w:rPr>
              <w:t>France,</w:t>
            </w:r>
            <w:proofErr w:type="gramEnd"/>
            <w:r w:rsidRPr="00937943">
              <w:rPr>
                <w:rFonts w:ascii="Times New Roman" w:eastAsia="Times New Roman" w:hAnsi="Times New Roman" w:cs="Times New Roman"/>
                <w:color w:val="000000"/>
                <w:sz w:val="20"/>
                <w:szCs w:val="20"/>
              </w:rPr>
              <w:t xml:space="preserve"> it is not clear how the ECB will be making any contributions with monetary policy.  Dec 2013 ended with talk of ‘many tools at their disposal’ and ‘a willingness to use them if necessary’, yet there have been no specific tools cited or thresholds to watch other than recent deflationary data points.  Last week’s ECB press conference suggested the central bank would only act if disinﬂationary pressures accelerate or if there is an unwarranted tightening in money market rates and accordingly was less dovish (and  EUR  supportive) than we would have expected. </w:t>
            </w:r>
          </w:p>
        </w:tc>
      </w:tr>
      <w:tr w:rsidR="00937943" w:rsidRPr="00937943" w:rsidTr="00937943">
        <w:trPr>
          <w:trHeight w:val="395"/>
        </w:trPr>
        <w:tc>
          <w:tcPr>
            <w:tcW w:w="477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937943" w:rsidRPr="00937943" w:rsidRDefault="00937943" w:rsidP="00937943">
            <w:pPr>
              <w:spacing w:after="0" w:line="240" w:lineRule="auto"/>
              <w:jc w:val="center"/>
              <w:rPr>
                <w:rFonts w:ascii="Times New Roman" w:eastAsia="Times New Roman" w:hAnsi="Times New Roman" w:cs="Times New Roman"/>
                <w:color w:val="000000"/>
                <w:sz w:val="24"/>
                <w:szCs w:val="24"/>
              </w:rPr>
            </w:pPr>
            <w:r w:rsidRPr="00937943">
              <w:rPr>
                <w:rFonts w:ascii="Times New Roman" w:eastAsia="Times New Roman" w:hAnsi="Times New Roman" w:cs="Times New Roman"/>
                <w:color w:val="000000"/>
                <w:sz w:val="32"/>
              </w:rPr>
              <w:t xml:space="preserve">Driving Themes </w:t>
            </w:r>
          </w:p>
        </w:tc>
        <w:tc>
          <w:tcPr>
            <w:tcW w:w="479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937943" w:rsidRPr="00937943" w:rsidRDefault="00937943" w:rsidP="00937943">
            <w:pPr>
              <w:spacing w:after="0" w:line="240" w:lineRule="auto"/>
              <w:jc w:val="center"/>
              <w:rPr>
                <w:rFonts w:ascii="Times New Roman" w:eastAsia="Times New Roman" w:hAnsi="Times New Roman" w:cs="Times New Roman"/>
                <w:color w:val="000000"/>
                <w:sz w:val="24"/>
                <w:szCs w:val="24"/>
              </w:rPr>
            </w:pPr>
            <w:r w:rsidRPr="00937943">
              <w:rPr>
                <w:rFonts w:ascii="Times New Roman" w:eastAsia="Times New Roman" w:hAnsi="Times New Roman" w:cs="Times New Roman"/>
                <w:color w:val="000000"/>
                <w:sz w:val="28"/>
              </w:rPr>
              <w:t>Potential Influences on those Themes</w:t>
            </w:r>
            <w:r w:rsidRPr="00937943">
              <w:rPr>
                <w:rFonts w:ascii="Times New Roman" w:eastAsia="Times New Roman" w:hAnsi="Times New Roman" w:cs="Times New Roman"/>
                <w:color w:val="000000"/>
                <w:sz w:val="24"/>
                <w:szCs w:val="24"/>
              </w:rPr>
              <w:t xml:space="preserve"> </w:t>
            </w:r>
          </w:p>
        </w:tc>
      </w:tr>
      <w:tr w:rsidR="00937943" w:rsidRPr="00937943" w:rsidTr="00937943">
        <w:trPr>
          <w:trHeight w:val="462"/>
        </w:trPr>
        <w:tc>
          <w:tcPr>
            <w:tcW w:w="4779" w:type="dxa"/>
            <w:tcBorders>
              <w:top w:val="single" w:sz="4" w:space="0" w:color="auto"/>
              <w:left w:val="single" w:sz="4" w:space="0" w:color="auto"/>
              <w:bottom w:val="single" w:sz="4" w:space="0" w:color="auto"/>
              <w:right w:val="single" w:sz="4" w:space="0" w:color="auto"/>
            </w:tcBorders>
            <w:vAlign w:val="center"/>
            <w:hideMark/>
          </w:tcPr>
          <w:p w:rsidR="00937943" w:rsidRPr="00937943" w:rsidRDefault="00937943" w:rsidP="00937943">
            <w:pPr>
              <w:spacing w:after="0" w:line="240" w:lineRule="auto"/>
              <w:jc w:val="center"/>
              <w:rPr>
                <w:rFonts w:ascii="Times New Roman" w:eastAsia="Times New Roman" w:hAnsi="Times New Roman" w:cs="Times New Roman"/>
                <w:color w:val="000000"/>
                <w:sz w:val="24"/>
                <w:szCs w:val="24"/>
              </w:rPr>
            </w:pPr>
            <w:r w:rsidRPr="00937943">
              <w:rPr>
                <w:rFonts w:ascii="Times New Roman" w:eastAsia="Times New Roman" w:hAnsi="Times New Roman" w:cs="Times New Roman"/>
                <w:color w:val="000000"/>
                <w:sz w:val="20"/>
                <w:szCs w:val="20"/>
              </w:rPr>
              <w:t>ECB Interest Rate Decision</w:t>
            </w:r>
          </w:p>
        </w:tc>
        <w:tc>
          <w:tcPr>
            <w:tcW w:w="4797" w:type="dxa"/>
            <w:tcBorders>
              <w:top w:val="single" w:sz="4" w:space="0" w:color="auto"/>
              <w:left w:val="single" w:sz="4" w:space="0" w:color="auto"/>
              <w:bottom w:val="single" w:sz="4" w:space="0" w:color="auto"/>
              <w:right w:val="single" w:sz="4" w:space="0" w:color="auto"/>
            </w:tcBorders>
            <w:hideMark/>
          </w:tcPr>
          <w:p w:rsidR="00937943" w:rsidRPr="00937943" w:rsidRDefault="00937943" w:rsidP="00937943">
            <w:pPr>
              <w:spacing w:after="0" w:line="240" w:lineRule="auto"/>
              <w:rPr>
                <w:rFonts w:ascii="Times New Roman" w:eastAsia="Times New Roman" w:hAnsi="Times New Roman" w:cs="Times New Roman"/>
                <w:color w:val="000000"/>
                <w:sz w:val="24"/>
                <w:szCs w:val="24"/>
              </w:rPr>
            </w:pPr>
            <w:r w:rsidRPr="00937943">
              <w:rPr>
                <w:rFonts w:ascii="Times New Roman" w:eastAsia="Times New Roman" w:hAnsi="Times New Roman" w:cs="Times New Roman"/>
                <w:color w:val="000000"/>
                <w:sz w:val="20"/>
                <w:szCs w:val="20"/>
              </w:rPr>
              <w:t>The market waits for further talk out of the ECB on</w:t>
            </w:r>
            <w:proofErr w:type="gramStart"/>
            <w:r w:rsidRPr="00937943">
              <w:rPr>
                <w:rFonts w:ascii="Times New Roman" w:eastAsia="Times New Roman" w:hAnsi="Times New Roman" w:cs="Times New Roman"/>
                <w:color w:val="000000"/>
                <w:sz w:val="20"/>
                <w:szCs w:val="20"/>
              </w:rPr>
              <w:t>  prospects</w:t>
            </w:r>
            <w:proofErr w:type="gramEnd"/>
            <w:r w:rsidRPr="00937943">
              <w:rPr>
                <w:rFonts w:ascii="Times New Roman" w:eastAsia="Times New Roman" w:hAnsi="Times New Roman" w:cs="Times New Roman"/>
                <w:color w:val="000000"/>
                <w:sz w:val="20"/>
                <w:szCs w:val="20"/>
              </w:rPr>
              <w:t xml:space="preserve"> for the future. Any mention of new LTRO or other monetary tool might spark EUR selling, while ECB members coming off hawkish (or even less dovish), or signals of ‘no action’ will likely continue to support the EUR. </w:t>
            </w:r>
          </w:p>
          <w:p w:rsidR="00937943" w:rsidRPr="00937943" w:rsidRDefault="00937943" w:rsidP="00937943">
            <w:pPr>
              <w:spacing w:after="0" w:line="240" w:lineRule="auto"/>
              <w:rPr>
                <w:rFonts w:ascii="Times New Roman" w:eastAsia="Times New Roman" w:hAnsi="Times New Roman" w:cs="Times New Roman"/>
                <w:color w:val="000000"/>
                <w:sz w:val="24"/>
                <w:szCs w:val="24"/>
              </w:rPr>
            </w:pPr>
            <w:r w:rsidRPr="00937943">
              <w:rPr>
                <w:rFonts w:ascii="Times New Roman" w:eastAsia="Times New Roman" w:hAnsi="Times New Roman" w:cs="Times New Roman"/>
                <w:color w:val="000000"/>
                <w:sz w:val="20"/>
                <w:szCs w:val="20"/>
              </w:rPr>
              <w:t> </w:t>
            </w:r>
          </w:p>
        </w:tc>
      </w:tr>
      <w:tr w:rsidR="00937943" w:rsidRPr="00937943" w:rsidTr="00937943">
        <w:trPr>
          <w:trHeight w:val="422"/>
        </w:trPr>
        <w:tc>
          <w:tcPr>
            <w:tcW w:w="9576"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937943" w:rsidRPr="00937943" w:rsidRDefault="00937943" w:rsidP="00937943">
            <w:pPr>
              <w:spacing w:after="0" w:line="240" w:lineRule="auto"/>
              <w:jc w:val="center"/>
              <w:rPr>
                <w:rFonts w:ascii="Times New Roman" w:eastAsia="Times New Roman" w:hAnsi="Times New Roman" w:cs="Times New Roman"/>
                <w:color w:val="000000"/>
                <w:sz w:val="24"/>
                <w:szCs w:val="24"/>
              </w:rPr>
            </w:pPr>
            <w:r w:rsidRPr="00937943">
              <w:rPr>
                <w:rFonts w:ascii="Times New Roman" w:eastAsia="Times New Roman" w:hAnsi="Times New Roman" w:cs="Times New Roman"/>
                <w:color w:val="000000"/>
                <w:sz w:val="32"/>
              </w:rPr>
              <w:t>Specific Upcoming Risk Events</w:t>
            </w:r>
            <w:r w:rsidRPr="00937943">
              <w:rPr>
                <w:rFonts w:ascii="Times New Roman" w:eastAsia="Times New Roman" w:hAnsi="Times New Roman" w:cs="Times New Roman"/>
                <w:color w:val="000000"/>
                <w:sz w:val="24"/>
                <w:szCs w:val="24"/>
              </w:rPr>
              <w:t xml:space="preserve"> </w:t>
            </w:r>
          </w:p>
        </w:tc>
      </w:tr>
      <w:tr w:rsidR="00937943" w:rsidRPr="00937943" w:rsidTr="00937943">
        <w:trPr>
          <w:trHeight w:val="557"/>
        </w:trPr>
        <w:tc>
          <w:tcPr>
            <w:tcW w:w="9576" w:type="dxa"/>
            <w:gridSpan w:val="2"/>
            <w:tcBorders>
              <w:top w:val="single" w:sz="4" w:space="0" w:color="auto"/>
              <w:left w:val="single" w:sz="4" w:space="0" w:color="auto"/>
              <w:bottom w:val="single" w:sz="4" w:space="0" w:color="auto"/>
              <w:right w:val="single" w:sz="4" w:space="0" w:color="auto"/>
            </w:tcBorders>
            <w:hideMark/>
          </w:tcPr>
          <w:p w:rsidR="00937943" w:rsidRPr="00937943" w:rsidRDefault="00937943" w:rsidP="00937943">
            <w:pPr>
              <w:spacing w:after="0" w:line="240" w:lineRule="auto"/>
              <w:rPr>
                <w:rFonts w:ascii="Times New Roman" w:eastAsia="Times New Roman" w:hAnsi="Times New Roman" w:cs="Times New Roman"/>
                <w:color w:val="000000"/>
                <w:sz w:val="24"/>
                <w:szCs w:val="24"/>
              </w:rPr>
            </w:pPr>
            <w:r w:rsidRPr="00937943">
              <w:rPr>
                <w:rFonts w:ascii="Times New Roman" w:eastAsia="Times New Roman" w:hAnsi="Times New Roman" w:cs="Times New Roman"/>
                <w:color w:val="000000"/>
                <w:sz w:val="24"/>
                <w:szCs w:val="24"/>
              </w:rPr>
              <w:t>Thursday, January 16th, Euro zone CPI</w:t>
            </w:r>
          </w:p>
        </w:tc>
      </w:tr>
    </w:tbl>
    <w:p w:rsidR="00937943" w:rsidRPr="00937943" w:rsidRDefault="00937943" w:rsidP="00937943">
      <w:pPr>
        <w:shd w:val="clear" w:color="auto" w:fill="FFFFFF"/>
        <w:spacing w:after="240" w:line="240" w:lineRule="auto"/>
        <w:rPr>
          <w:rFonts w:ascii="Arial" w:eastAsia="Times New Roman" w:hAnsi="Arial" w:cs="Arial"/>
          <w:color w:val="000000"/>
          <w:sz w:val="21"/>
          <w:szCs w:val="21"/>
        </w:rPr>
      </w:pPr>
      <w:r w:rsidRPr="00937943">
        <w:rPr>
          <w:rFonts w:ascii="Arial" w:eastAsia="Times New Roman" w:hAnsi="Arial" w:cs="Arial"/>
          <w:color w:val="000000"/>
          <w:sz w:val="21"/>
          <w:szCs w:val="21"/>
        </w:rPr>
        <w:t> </w:t>
      </w:r>
    </w:p>
    <w:p w:rsidR="00B038CA" w:rsidRDefault="00B038CA">
      <w:bookmarkStart w:id="0" w:name="_GoBack"/>
      <w:bookmarkEnd w:id="0"/>
    </w:p>
    <w:sectPr w:rsidR="00B038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943"/>
    <w:rsid w:val="00937943"/>
    <w:rsid w:val="00B03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7943"/>
    <w:pPr>
      <w:spacing w:after="24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7943"/>
    <w:pPr>
      <w:spacing w:after="24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217978">
      <w:bodyDiv w:val="1"/>
      <w:marLeft w:val="0"/>
      <w:marRight w:val="0"/>
      <w:marTop w:val="0"/>
      <w:marBottom w:val="0"/>
      <w:divBdr>
        <w:top w:val="none" w:sz="0" w:space="0" w:color="auto"/>
        <w:left w:val="none" w:sz="0" w:space="0" w:color="auto"/>
        <w:bottom w:val="none" w:sz="0" w:space="0" w:color="auto"/>
        <w:right w:val="none" w:sz="0" w:space="0" w:color="auto"/>
      </w:divBdr>
      <w:divsChild>
        <w:div w:id="987711662">
          <w:marLeft w:val="0"/>
          <w:marRight w:val="0"/>
          <w:marTop w:val="0"/>
          <w:marBottom w:val="0"/>
          <w:divBdr>
            <w:top w:val="none" w:sz="0" w:space="0" w:color="auto"/>
            <w:left w:val="none" w:sz="0" w:space="0" w:color="auto"/>
            <w:bottom w:val="none" w:sz="0" w:space="0" w:color="auto"/>
            <w:right w:val="none" w:sz="0" w:space="0" w:color="auto"/>
          </w:divBdr>
          <w:divsChild>
            <w:div w:id="1366248091">
              <w:marLeft w:val="0"/>
              <w:marRight w:val="0"/>
              <w:marTop w:val="0"/>
              <w:marBottom w:val="0"/>
              <w:divBdr>
                <w:top w:val="none" w:sz="0" w:space="0" w:color="auto"/>
                <w:left w:val="none" w:sz="0" w:space="0" w:color="auto"/>
                <w:bottom w:val="none" w:sz="0" w:space="0" w:color="auto"/>
                <w:right w:val="none" w:sz="0" w:space="0" w:color="auto"/>
              </w:divBdr>
              <w:divsChild>
                <w:div w:id="1172842791">
                  <w:marLeft w:val="0"/>
                  <w:marRight w:val="0"/>
                  <w:marTop w:val="0"/>
                  <w:marBottom w:val="0"/>
                  <w:divBdr>
                    <w:top w:val="none" w:sz="0" w:space="0" w:color="auto"/>
                    <w:left w:val="none" w:sz="0" w:space="0" w:color="auto"/>
                    <w:bottom w:val="none" w:sz="0" w:space="0" w:color="auto"/>
                    <w:right w:val="none" w:sz="0" w:space="0" w:color="auto"/>
                  </w:divBdr>
                  <w:divsChild>
                    <w:div w:id="207302471">
                      <w:marLeft w:val="0"/>
                      <w:marRight w:val="0"/>
                      <w:marTop w:val="150"/>
                      <w:marBottom w:val="150"/>
                      <w:divBdr>
                        <w:top w:val="none" w:sz="0" w:space="0" w:color="auto"/>
                        <w:left w:val="none" w:sz="0" w:space="0" w:color="auto"/>
                        <w:bottom w:val="none" w:sz="0" w:space="0" w:color="auto"/>
                        <w:right w:val="none" w:sz="0" w:space="0" w:color="auto"/>
                      </w:divBdr>
                      <w:divsChild>
                        <w:div w:id="685252123">
                          <w:marLeft w:val="0"/>
                          <w:marRight w:val="0"/>
                          <w:marTop w:val="0"/>
                          <w:marBottom w:val="0"/>
                          <w:divBdr>
                            <w:top w:val="none" w:sz="0" w:space="0" w:color="auto"/>
                            <w:left w:val="none" w:sz="0" w:space="0" w:color="auto"/>
                            <w:bottom w:val="none" w:sz="0" w:space="0" w:color="auto"/>
                            <w:right w:val="none" w:sz="0" w:space="0" w:color="auto"/>
                          </w:divBdr>
                          <w:divsChild>
                            <w:div w:id="1138493892">
                              <w:marLeft w:val="0"/>
                              <w:marRight w:val="0"/>
                              <w:marTop w:val="0"/>
                              <w:marBottom w:val="0"/>
                              <w:divBdr>
                                <w:top w:val="none" w:sz="0" w:space="0" w:color="auto"/>
                                <w:left w:val="none" w:sz="0" w:space="0" w:color="auto"/>
                                <w:bottom w:val="none" w:sz="0" w:space="0" w:color="auto"/>
                                <w:right w:val="none" w:sz="0" w:space="0" w:color="auto"/>
                              </w:divBdr>
                              <w:divsChild>
                                <w:div w:id="901409534">
                                  <w:marLeft w:val="0"/>
                                  <w:marRight w:val="0"/>
                                  <w:marTop w:val="0"/>
                                  <w:marBottom w:val="0"/>
                                  <w:divBdr>
                                    <w:top w:val="none" w:sz="0" w:space="0" w:color="auto"/>
                                    <w:left w:val="none" w:sz="0" w:space="0" w:color="auto"/>
                                    <w:bottom w:val="none" w:sz="0" w:space="0" w:color="auto"/>
                                    <w:right w:val="none" w:sz="0" w:space="0" w:color="auto"/>
                                  </w:divBdr>
                                  <w:divsChild>
                                    <w:div w:id="1175802247">
                                      <w:marLeft w:val="0"/>
                                      <w:marRight w:val="0"/>
                                      <w:marTop w:val="0"/>
                                      <w:marBottom w:val="0"/>
                                      <w:divBdr>
                                        <w:top w:val="none" w:sz="0" w:space="0" w:color="auto"/>
                                        <w:left w:val="none" w:sz="0" w:space="0" w:color="auto"/>
                                        <w:bottom w:val="none" w:sz="0" w:space="0" w:color="auto"/>
                                        <w:right w:val="none" w:sz="0" w:space="0" w:color="auto"/>
                                      </w:divBdr>
                                      <w:divsChild>
                                        <w:div w:id="997197209">
                                          <w:marLeft w:val="0"/>
                                          <w:marRight w:val="0"/>
                                          <w:marTop w:val="0"/>
                                          <w:marBottom w:val="0"/>
                                          <w:divBdr>
                                            <w:top w:val="none" w:sz="0" w:space="0" w:color="auto"/>
                                            <w:left w:val="none" w:sz="0" w:space="0" w:color="auto"/>
                                            <w:bottom w:val="none" w:sz="0" w:space="0" w:color="auto"/>
                                            <w:right w:val="none" w:sz="0" w:space="0" w:color="auto"/>
                                          </w:divBdr>
                                          <w:divsChild>
                                            <w:div w:id="1502041566">
                                              <w:marLeft w:val="0"/>
                                              <w:marRight w:val="0"/>
                                              <w:marTop w:val="0"/>
                                              <w:marBottom w:val="0"/>
                                              <w:divBdr>
                                                <w:top w:val="none" w:sz="0" w:space="0" w:color="auto"/>
                                                <w:left w:val="none" w:sz="0" w:space="0" w:color="auto"/>
                                                <w:bottom w:val="none" w:sz="0" w:space="0" w:color="auto"/>
                                                <w:right w:val="none" w:sz="0" w:space="0" w:color="auto"/>
                                              </w:divBdr>
                                              <w:divsChild>
                                                <w:div w:id="1975983051">
                                                  <w:marLeft w:val="0"/>
                                                  <w:marRight w:val="0"/>
                                                  <w:marTop w:val="0"/>
                                                  <w:marBottom w:val="0"/>
                                                  <w:divBdr>
                                                    <w:top w:val="none" w:sz="0" w:space="0" w:color="auto"/>
                                                    <w:left w:val="none" w:sz="0" w:space="0" w:color="auto"/>
                                                    <w:bottom w:val="none" w:sz="0" w:space="0" w:color="auto"/>
                                                    <w:right w:val="none" w:sz="0" w:space="0" w:color="auto"/>
                                                  </w:divBdr>
                                                  <w:divsChild>
                                                    <w:div w:id="1392003417">
                                                      <w:marLeft w:val="0"/>
                                                      <w:marRight w:val="0"/>
                                                      <w:marTop w:val="0"/>
                                                      <w:marBottom w:val="0"/>
                                                      <w:divBdr>
                                                        <w:top w:val="none" w:sz="0" w:space="0" w:color="auto"/>
                                                        <w:left w:val="none" w:sz="0" w:space="0" w:color="auto"/>
                                                        <w:bottom w:val="none" w:sz="0" w:space="0" w:color="auto"/>
                                                        <w:right w:val="none" w:sz="0" w:space="0" w:color="auto"/>
                                                      </w:divBdr>
                                                      <w:divsChild>
                                                        <w:div w:id="418333302">
                                                          <w:marLeft w:val="0"/>
                                                          <w:marRight w:val="0"/>
                                                          <w:marTop w:val="0"/>
                                                          <w:marBottom w:val="0"/>
                                                          <w:divBdr>
                                                            <w:top w:val="none" w:sz="0" w:space="0" w:color="auto"/>
                                                            <w:left w:val="none" w:sz="0" w:space="0" w:color="auto"/>
                                                            <w:bottom w:val="none" w:sz="0" w:space="0" w:color="auto"/>
                                                            <w:right w:val="none" w:sz="0" w:space="0" w:color="auto"/>
                                                          </w:divBdr>
                                                          <w:divsChild>
                                                            <w:div w:id="207422735">
                                                              <w:marLeft w:val="0"/>
                                                              <w:marRight w:val="0"/>
                                                              <w:marTop w:val="0"/>
                                                              <w:marBottom w:val="0"/>
                                                              <w:divBdr>
                                                                <w:top w:val="none" w:sz="0" w:space="0" w:color="auto"/>
                                                                <w:left w:val="none" w:sz="0" w:space="0" w:color="auto"/>
                                                                <w:bottom w:val="none" w:sz="0" w:space="0" w:color="auto"/>
                                                                <w:right w:val="none" w:sz="0" w:space="0" w:color="auto"/>
                                                              </w:divBdr>
                                                              <w:divsChild>
                                                                <w:div w:id="2021083645">
                                                                  <w:marLeft w:val="0"/>
                                                                  <w:marRight w:val="0"/>
                                                                  <w:marTop w:val="0"/>
                                                                  <w:marBottom w:val="0"/>
                                                                  <w:divBdr>
                                                                    <w:top w:val="none" w:sz="0" w:space="0" w:color="auto"/>
                                                                    <w:left w:val="none" w:sz="0" w:space="0" w:color="auto"/>
                                                                    <w:bottom w:val="none" w:sz="0" w:space="0" w:color="auto"/>
                                                                    <w:right w:val="none" w:sz="0" w:space="0" w:color="auto"/>
                                                                  </w:divBdr>
                                                                  <w:divsChild>
                                                                    <w:div w:id="107708918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198</Words>
  <Characters>1132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2014-01-13T15:47:00Z</dcterms:created>
  <dcterms:modified xsi:type="dcterms:W3CDTF">2014-01-13T15:51:00Z</dcterms:modified>
</cp:coreProperties>
</file>